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2BFF" w14:textId="41526F02" w:rsidR="00B96D7C" w:rsidRPr="00636C4A" w:rsidRDefault="00456B97" w:rsidP="00B96D7C">
      <w:pPr>
        <w:jc w:val="center"/>
        <w:rPr>
          <w:b/>
          <w:bCs/>
        </w:rPr>
      </w:pPr>
      <w:bookmarkStart w:id="0" w:name="_Hlk48132996"/>
      <w:r w:rsidRPr="00456B97">
        <w:rPr>
          <w:b/>
          <w:bCs/>
          <w:sz w:val="40"/>
          <w:szCs w:val="40"/>
        </w:rPr>
        <w:t>Projektová dokumentace na rekonstrukci komunikací v lokalitě Vysoká, Psáry-Dolní Jirčany</w:t>
      </w:r>
    </w:p>
    <w:p w14:paraId="2B7CBDCA" w14:textId="77777777" w:rsidR="00B96D7C" w:rsidRPr="00636C4A" w:rsidRDefault="00B96D7C" w:rsidP="00B96D7C">
      <w:pPr>
        <w:jc w:val="center"/>
        <w:rPr>
          <w:b/>
          <w:bCs/>
          <w:sz w:val="40"/>
          <w:szCs w:val="40"/>
        </w:rPr>
      </w:pPr>
    </w:p>
    <w:p w14:paraId="6B89B44A" w14:textId="069A6F14" w:rsidR="00B96D7C" w:rsidRPr="00636C4A" w:rsidRDefault="00B96D7C" w:rsidP="00B96D7C">
      <w:pPr>
        <w:jc w:val="center"/>
        <w:rPr>
          <w:b/>
          <w:bCs/>
          <w:sz w:val="40"/>
          <w:szCs w:val="40"/>
        </w:rPr>
      </w:pPr>
      <w:r w:rsidRPr="00636C4A">
        <w:rPr>
          <w:b/>
          <w:bCs/>
          <w:sz w:val="40"/>
          <w:szCs w:val="40"/>
        </w:rPr>
        <w:t xml:space="preserve">DOKUMENTACE PRO </w:t>
      </w:r>
      <w:r w:rsidR="00456B97">
        <w:rPr>
          <w:b/>
          <w:bCs/>
          <w:sz w:val="40"/>
          <w:szCs w:val="40"/>
        </w:rPr>
        <w:t>PROVÁDĚNÍ STAVBY</w:t>
      </w:r>
    </w:p>
    <w:p w14:paraId="1CD666C8" w14:textId="77777777" w:rsidR="00B96D7C" w:rsidRPr="00636C4A" w:rsidRDefault="00B96D7C" w:rsidP="00B96D7C">
      <w:pPr>
        <w:jc w:val="center"/>
      </w:pPr>
    </w:p>
    <w:p w14:paraId="6831CFB6" w14:textId="77777777" w:rsidR="00B96D7C" w:rsidRPr="00636C4A" w:rsidRDefault="00B96D7C" w:rsidP="00B96D7C">
      <w:pPr>
        <w:jc w:val="center"/>
      </w:pPr>
    </w:p>
    <w:p w14:paraId="59FA56C7" w14:textId="21011DAA" w:rsidR="00B96D7C" w:rsidRPr="00636C4A" w:rsidRDefault="00B96D7C" w:rsidP="00964221">
      <w:pPr>
        <w:ind w:firstLine="0"/>
        <w:jc w:val="center"/>
      </w:pPr>
      <w:r w:rsidRPr="00636C4A">
        <w:t>Investor:</w:t>
      </w:r>
      <w:r w:rsidRPr="00636C4A">
        <w:br/>
      </w:r>
      <w:bookmarkEnd w:id="0"/>
      <w:r w:rsidR="00964221">
        <w:t xml:space="preserve">Obec Psáry, </w:t>
      </w:r>
      <w:r w:rsidR="00964221" w:rsidRPr="00964221">
        <w:t>Pražská 137, 252 44 Psáry</w:t>
      </w:r>
    </w:p>
    <w:p w14:paraId="73DFEC14" w14:textId="77777777" w:rsidR="00B96D7C" w:rsidRPr="00636C4A" w:rsidRDefault="00B96D7C" w:rsidP="00964221">
      <w:pPr>
        <w:ind w:firstLine="0"/>
        <w:jc w:val="center"/>
      </w:pPr>
      <w:r w:rsidRPr="00636C4A">
        <w:t>Projekční kancelář:</w:t>
      </w:r>
      <w:r w:rsidRPr="00636C4A">
        <w:br/>
        <w:t xml:space="preserve">All </w:t>
      </w:r>
      <w:proofErr w:type="spellStart"/>
      <w:r w:rsidRPr="00636C4A">
        <w:t>Plan</w:t>
      </w:r>
      <w:proofErr w:type="spellEnd"/>
      <w:r w:rsidRPr="00636C4A">
        <w:t xml:space="preserve"> Projekt, s.r.o., Dr. E. Beneše 1111, 277 11 Neratovice, IČO 038 33 861</w:t>
      </w:r>
      <w:r w:rsidRPr="00636C4A">
        <w:br/>
      </w:r>
    </w:p>
    <w:p w14:paraId="7070A8A9" w14:textId="77777777" w:rsidR="00B96D7C" w:rsidRPr="00636C4A" w:rsidRDefault="00B96D7C" w:rsidP="00964221">
      <w:pPr>
        <w:ind w:firstLine="0"/>
        <w:jc w:val="center"/>
      </w:pPr>
      <w:r w:rsidRPr="00636C4A">
        <w:t>Projektant:</w:t>
      </w:r>
      <w:r w:rsidRPr="00636C4A">
        <w:br/>
        <w:t>Ing. Jiří Drbohlav, autorizovaný inženýr pro dopravní stavby, ČKAIT 0012795</w:t>
      </w:r>
    </w:p>
    <w:p w14:paraId="2D033CBA" w14:textId="77777777" w:rsidR="00B96D7C" w:rsidRPr="00636C4A" w:rsidRDefault="00B96D7C" w:rsidP="00964221">
      <w:pPr>
        <w:ind w:firstLine="0"/>
        <w:jc w:val="center"/>
      </w:pPr>
    </w:p>
    <w:p w14:paraId="703D839C" w14:textId="77777777" w:rsidR="00B96D7C" w:rsidRPr="00636C4A" w:rsidRDefault="00B96D7C" w:rsidP="00964221">
      <w:pPr>
        <w:ind w:firstLine="0"/>
        <w:jc w:val="center"/>
      </w:pPr>
      <w:r w:rsidRPr="00636C4A">
        <w:t>Číslo zakázky:</w:t>
      </w:r>
      <w:r w:rsidRPr="00636C4A">
        <w:br/>
      </w:r>
      <w:r>
        <w:t>2025-094</w:t>
      </w:r>
    </w:p>
    <w:p w14:paraId="02EEE1ED" w14:textId="77777777" w:rsidR="00B96D7C" w:rsidRPr="00636C4A" w:rsidRDefault="00B96D7C" w:rsidP="00964221">
      <w:pPr>
        <w:ind w:firstLine="0"/>
        <w:jc w:val="center"/>
      </w:pPr>
    </w:p>
    <w:p w14:paraId="215DE417" w14:textId="21D1C32A" w:rsidR="00B96D7C" w:rsidRPr="00636C4A" w:rsidRDefault="00B96D7C" w:rsidP="00964221">
      <w:pPr>
        <w:ind w:firstLine="0"/>
        <w:jc w:val="center"/>
      </w:pPr>
      <w:r w:rsidRPr="00636C4A">
        <w:t>Datum:</w:t>
      </w:r>
      <w:r w:rsidRPr="00636C4A">
        <w:br/>
      </w:r>
      <w:r>
        <w:t>0</w:t>
      </w:r>
      <w:r w:rsidR="00964221">
        <w:t>7</w:t>
      </w:r>
      <w:r>
        <w:t>/2025</w:t>
      </w:r>
    </w:p>
    <w:p w14:paraId="2A041988" w14:textId="77777777" w:rsidR="00B96D7C" w:rsidRPr="00636C4A" w:rsidRDefault="00B96D7C" w:rsidP="00B96D7C">
      <w:pPr>
        <w:jc w:val="center"/>
      </w:pPr>
    </w:p>
    <w:p w14:paraId="7A543258" w14:textId="77777777" w:rsidR="00B96D7C" w:rsidRPr="00636C4A" w:rsidRDefault="00B96D7C" w:rsidP="00B96D7C">
      <w:pPr>
        <w:jc w:val="center"/>
        <w:rPr>
          <w:b/>
          <w:bCs/>
        </w:rPr>
      </w:pPr>
    </w:p>
    <w:p w14:paraId="2B8AD56A" w14:textId="01C0C6DA" w:rsidR="00DC09A0" w:rsidRPr="00B96D7C" w:rsidRDefault="00964221" w:rsidP="00B96D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 01 – Větev 1</w:t>
      </w:r>
    </w:p>
    <w:p w14:paraId="2FC8BE46" w14:textId="77777777" w:rsidR="00B96D7C" w:rsidRPr="00B96D7C" w:rsidRDefault="00B96D7C" w:rsidP="00B96D7C">
      <w:pPr>
        <w:jc w:val="center"/>
        <w:rPr>
          <w:b/>
          <w:bCs/>
          <w:sz w:val="40"/>
          <w:szCs w:val="40"/>
        </w:rPr>
      </w:pPr>
    </w:p>
    <w:p w14:paraId="7297B861" w14:textId="669AA389" w:rsidR="00B96D7C" w:rsidRPr="00B96D7C" w:rsidRDefault="00B96D7C" w:rsidP="00B96D7C">
      <w:pPr>
        <w:jc w:val="center"/>
        <w:rPr>
          <w:b/>
          <w:bCs/>
          <w:sz w:val="40"/>
          <w:szCs w:val="40"/>
        </w:rPr>
      </w:pPr>
      <w:r w:rsidRPr="00B96D7C">
        <w:rPr>
          <w:b/>
          <w:bCs/>
          <w:sz w:val="40"/>
          <w:szCs w:val="40"/>
        </w:rPr>
        <w:t>TECHNICKÁ ZPRÁVA</w:t>
      </w:r>
    </w:p>
    <w:p w14:paraId="2B8AD56B" w14:textId="77777777" w:rsidR="00DC09A0" w:rsidRDefault="00DC09A0"/>
    <w:p w14:paraId="2B8AD56C" w14:textId="77777777" w:rsidR="00DC09A0" w:rsidRDefault="00DC09A0"/>
    <w:p w14:paraId="2B8AD56E" w14:textId="77777777" w:rsidR="00DC09A0" w:rsidRDefault="00DC09A0">
      <w:pPr>
        <w:rPr>
          <w:b/>
          <w:sz w:val="36"/>
        </w:rPr>
      </w:pPr>
    </w:p>
    <w:p w14:paraId="06DA0E00" w14:textId="77777777" w:rsidR="008241F0" w:rsidRDefault="008241F0">
      <w:pPr>
        <w:rPr>
          <w:b/>
          <w:sz w:val="36"/>
        </w:rPr>
      </w:pPr>
    </w:p>
    <w:p w14:paraId="21299B60" w14:textId="77777777" w:rsidR="008241F0" w:rsidRDefault="008241F0">
      <w:pPr>
        <w:rPr>
          <w:b/>
          <w:sz w:val="36"/>
        </w:rPr>
      </w:pPr>
    </w:p>
    <w:p w14:paraId="5F380066" w14:textId="77777777" w:rsidR="008241F0" w:rsidRDefault="008241F0"/>
    <w:p w14:paraId="2B8AD56F" w14:textId="77777777" w:rsidR="00DC09A0" w:rsidRDefault="00DC09A0"/>
    <w:p w14:paraId="2B8AD570" w14:textId="77777777" w:rsidR="00DC09A0" w:rsidRDefault="00DC09A0"/>
    <w:p w14:paraId="2B8AD571" w14:textId="77777777" w:rsidR="00DC09A0" w:rsidRDefault="00DC09A0"/>
    <w:p w14:paraId="2B8AD572" w14:textId="77777777" w:rsidR="00DC09A0" w:rsidRDefault="00DC09A0"/>
    <w:p w14:paraId="2033144D" w14:textId="77777777" w:rsidR="00B96D7C" w:rsidRDefault="00B96D7C"/>
    <w:p w14:paraId="75F5A927" w14:textId="77777777" w:rsidR="00B96D7C" w:rsidRDefault="00B96D7C"/>
    <w:p w14:paraId="4F2BBCF3" w14:textId="77777777" w:rsidR="00B96D7C" w:rsidRDefault="00B96D7C"/>
    <w:p w14:paraId="2B8AD573" w14:textId="77777777" w:rsidR="00DC09A0" w:rsidRDefault="00DC09A0"/>
    <w:p w14:paraId="2B8AD574" w14:textId="77777777" w:rsidR="00DC09A0" w:rsidRDefault="00DC09A0"/>
    <w:p w14:paraId="2B8AD578" w14:textId="77777777" w:rsidR="00DC09A0" w:rsidRDefault="00DC09A0"/>
    <w:p w14:paraId="2B8AD57C" w14:textId="77777777" w:rsidR="00DC09A0" w:rsidRDefault="00DC09A0"/>
    <w:p w14:paraId="2CA325E5" w14:textId="77777777" w:rsidR="00BC7D7E" w:rsidRDefault="00BC7D7E"/>
    <w:p w14:paraId="2B8AD57D" w14:textId="77777777" w:rsidR="00DC09A0" w:rsidRDefault="00DC09A0"/>
    <w:p w14:paraId="2B8AD57E" w14:textId="77777777" w:rsidR="00DC09A0" w:rsidRDefault="00DC09A0"/>
    <w:p w14:paraId="2B8AD57F" w14:textId="77777777" w:rsidR="00DC09A0" w:rsidRDefault="00DC09A0"/>
    <w:p w14:paraId="2B8AD580" w14:textId="77777777" w:rsidR="00DC09A0" w:rsidRDefault="00DC09A0"/>
    <w:p w14:paraId="2B8AD581" w14:textId="77777777" w:rsidR="00DC09A0" w:rsidRDefault="00DC09A0"/>
    <w:p w14:paraId="2B8AD585" w14:textId="77777777" w:rsidR="00DC09A0" w:rsidRPr="00B2679D" w:rsidRDefault="0086364D">
      <w:pPr>
        <w:pStyle w:val="Nadpis1"/>
        <w:numPr>
          <w:ilvl w:val="0"/>
          <w:numId w:val="3"/>
        </w:numPr>
      </w:pPr>
      <w:bookmarkStart w:id="1" w:name="_Toc482517779"/>
      <w:bookmarkStart w:id="2" w:name="_Toc446055916"/>
      <w:bookmarkStart w:id="3" w:name="_Toc409009321"/>
      <w:bookmarkStart w:id="4" w:name="_Toc399273287"/>
      <w:bookmarkStart w:id="5" w:name="_Toc396669000"/>
      <w:bookmarkStart w:id="6" w:name="_Toc523989809"/>
      <w:bookmarkStart w:id="7" w:name="_Toc380392817"/>
      <w:bookmarkEnd w:id="1"/>
      <w:bookmarkEnd w:id="2"/>
      <w:bookmarkEnd w:id="3"/>
      <w:bookmarkEnd w:id="4"/>
      <w:bookmarkEnd w:id="5"/>
      <w:r w:rsidRPr="00B2679D">
        <w:lastRenderedPageBreak/>
        <w:t>Všeobecné údaje</w:t>
      </w:r>
      <w:bookmarkEnd w:id="6"/>
      <w:bookmarkEnd w:id="7"/>
    </w:p>
    <w:p w14:paraId="2B8AD586" w14:textId="77777777" w:rsidR="00DC09A0" w:rsidRPr="001511FA" w:rsidRDefault="00DC09A0">
      <w:pPr>
        <w:ind w:firstLine="0"/>
        <w:jc w:val="both"/>
        <w:rPr>
          <w:rFonts w:ascii="Calibri" w:hAnsi="Calibri" w:cs="Calibri"/>
          <w:sz w:val="20"/>
          <w:highlight w:val="yellow"/>
        </w:rPr>
      </w:pPr>
    </w:p>
    <w:p w14:paraId="51A55D8B" w14:textId="2697C4B5" w:rsidR="00F918D1" w:rsidRDefault="00964221">
      <w:pPr>
        <w:pStyle w:val="HEL11"/>
        <w:rPr>
          <w:rFonts w:cs="Calibri"/>
          <w:b w:val="0"/>
          <w:sz w:val="20"/>
        </w:rPr>
      </w:pPr>
      <w:r>
        <w:rPr>
          <w:rFonts w:cs="Calibri"/>
          <w:b w:val="0"/>
          <w:sz w:val="20"/>
        </w:rPr>
        <w:t xml:space="preserve">Předmětem projektu je obnova stávající komunikaci v obci Psáry, jedná se o </w:t>
      </w:r>
      <w:proofErr w:type="spellStart"/>
      <w:r>
        <w:rPr>
          <w:rFonts w:cs="Calibri"/>
          <w:b w:val="0"/>
          <w:sz w:val="20"/>
        </w:rPr>
        <w:t>komumikaci</w:t>
      </w:r>
      <w:proofErr w:type="spellEnd"/>
      <w:r>
        <w:rPr>
          <w:rFonts w:cs="Calibri"/>
          <w:b w:val="0"/>
          <w:sz w:val="20"/>
        </w:rPr>
        <w:t xml:space="preserve"> v oblasti stávající zástavby: Na Vysoké, Vysoká, Trnková a ostatní navazující komunikace.</w:t>
      </w:r>
    </w:p>
    <w:p w14:paraId="7C597370" w14:textId="55BD4D04" w:rsidR="00964221" w:rsidRDefault="00964221">
      <w:pPr>
        <w:pStyle w:val="HEL11"/>
        <w:rPr>
          <w:rFonts w:cs="Calibri"/>
          <w:b w:val="0"/>
          <w:sz w:val="20"/>
        </w:rPr>
      </w:pPr>
      <w:r>
        <w:rPr>
          <w:rFonts w:cs="Calibri"/>
          <w:b w:val="0"/>
          <w:sz w:val="20"/>
        </w:rPr>
        <w:t>V rámci obnovy dojde k odstranění stávajících konstrukčních vrstev komunikace, ty mohou být případně potřeby přetříděné a znovu použity do podkladních vrstev, v případě potřeby pro sanaci zemní pláně.</w:t>
      </w:r>
    </w:p>
    <w:p w14:paraId="77B4C651" w14:textId="4D7C052E" w:rsidR="00964221" w:rsidRDefault="00964221">
      <w:pPr>
        <w:pStyle w:val="HEL11"/>
        <w:rPr>
          <w:rFonts w:cs="Calibri"/>
          <w:b w:val="0"/>
          <w:sz w:val="20"/>
        </w:rPr>
      </w:pPr>
      <w:r>
        <w:rPr>
          <w:rFonts w:cs="Calibri"/>
          <w:b w:val="0"/>
          <w:sz w:val="20"/>
        </w:rPr>
        <w:t xml:space="preserve">Po odkopání cca 0,54 m pro nové konstrukční vrstvy, dojde ke kontrole únosnosti zemní pláně, následně pak dojde pro vedení sanace či budování nových konstrukčních vrstev. Komunikace budou široké min. </w:t>
      </w:r>
      <w:proofErr w:type="gramStart"/>
      <w:r>
        <w:rPr>
          <w:rFonts w:cs="Calibri"/>
          <w:b w:val="0"/>
          <w:sz w:val="20"/>
        </w:rPr>
        <w:t>3m</w:t>
      </w:r>
      <w:proofErr w:type="gramEnd"/>
      <w:r>
        <w:rPr>
          <w:rFonts w:cs="Calibri"/>
          <w:b w:val="0"/>
          <w:sz w:val="20"/>
        </w:rPr>
        <w:t xml:space="preserve"> a budou provedeny jednostranným či oboustranným příčným sklonem. Podélný sklon komunikací bude dle stávajícího terénu, místy tedy sklon přesahuje stávající normové hodnoty.</w:t>
      </w:r>
    </w:p>
    <w:p w14:paraId="00032C5D" w14:textId="4B2DA285" w:rsidR="00964221" w:rsidRDefault="00964221">
      <w:pPr>
        <w:pStyle w:val="HEL11"/>
        <w:rPr>
          <w:rFonts w:cs="Calibri"/>
          <w:b w:val="0"/>
          <w:sz w:val="20"/>
        </w:rPr>
      </w:pPr>
      <w:r>
        <w:rPr>
          <w:rFonts w:cs="Calibri"/>
          <w:b w:val="0"/>
          <w:sz w:val="20"/>
        </w:rPr>
        <w:t>Povrch bude proveden z penetračního makadamu s posypem kamenivem.</w:t>
      </w:r>
    </w:p>
    <w:p w14:paraId="6B66EFB0" w14:textId="77777777" w:rsidR="00964221" w:rsidRDefault="00964221">
      <w:pPr>
        <w:pStyle w:val="HEL11"/>
        <w:rPr>
          <w:rFonts w:cs="Calibri"/>
          <w:b w:val="0"/>
          <w:sz w:val="20"/>
        </w:rPr>
      </w:pPr>
    </w:p>
    <w:p w14:paraId="73B3E018" w14:textId="13FF3BAB" w:rsidR="00964221" w:rsidRDefault="00964221">
      <w:pPr>
        <w:pStyle w:val="HEL11"/>
        <w:rPr>
          <w:rFonts w:cs="Calibri"/>
          <w:b w:val="0"/>
          <w:sz w:val="20"/>
        </w:rPr>
      </w:pPr>
      <w:r>
        <w:rPr>
          <w:rFonts w:cs="Calibri"/>
          <w:b w:val="0"/>
          <w:sz w:val="20"/>
        </w:rPr>
        <w:t xml:space="preserve">Podél komunikace budou místy vybudovány mělké příkopy, které budou </w:t>
      </w:r>
      <w:proofErr w:type="spellStart"/>
      <w:r>
        <w:rPr>
          <w:rFonts w:cs="Calibri"/>
          <w:b w:val="0"/>
          <w:sz w:val="20"/>
        </w:rPr>
        <w:t>ohumusovány</w:t>
      </w:r>
      <w:proofErr w:type="spellEnd"/>
      <w:r>
        <w:rPr>
          <w:rFonts w:cs="Calibri"/>
          <w:b w:val="0"/>
          <w:sz w:val="20"/>
        </w:rPr>
        <w:t xml:space="preserve"> a budou složit jako částečná retence srážkových vod, ve vhodných místech pak místně budou provedeny mělké průlehy pro </w:t>
      </w:r>
      <w:proofErr w:type="gramStart"/>
      <w:r>
        <w:rPr>
          <w:rFonts w:cs="Calibri"/>
          <w:b w:val="0"/>
          <w:sz w:val="20"/>
        </w:rPr>
        <w:t>vsak</w:t>
      </w:r>
      <w:proofErr w:type="gramEnd"/>
      <w:r>
        <w:rPr>
          <w:rFonts w:cs="Calibri"/>
          <w:b w:val="0"/>
          <w:sz w:val="20"/>
        </w:rPr>
        <w:t xml:space="preserve"> a odpar srážkových vod.</w:t>
      </w:r>
    </w:p>
    <w:p w14:paraId="4788C7BE" w14:textId="77777777" w:rsidR="00964221" w:rsidRDefault="00964221">
      <w:pPr>
        <w:pStyle w:val="HEL11"/>
        <w:rPr>
          <w:rFonts w:cs="Calibri"/>
          <w:b w:val="0"/>
          <w:sz w:val="20"/>
        </w:rPr>
      </w:pPr>
    </w:p>
    <w:p w14:paraId="2B8AD590" w14:textId="77777777" w:rsidR="00DC09A0" w:rsidRPr="00AF6A97" w:rsidRDefault="0086364D">
      <w:pPr>
        <w:pStyle w:val="Nadpis1"/>
        <w:numPr>
          <w:ilvl w:val="0"/>
          <w:numId w:val="3"/>
        </w:numPr>
      </w:pPr>
      <w:bookmarkStart w:id="8" w:name="_Toc523989811"/>
      <w:bookmarkStart w:id="9" w:name="_Toc313890433"/>
      <w:bookmarkStart w:id="10" w:name="_Toc380392819"/>
      <w:r w:rsidRPr="00AF6A97">
        <w:t>Podklady</w:t>
      </w:r>
      <w:bookmarkEnd w:id="8"/>
      <w:bookmarkEnd w:id="9"/>
      <w:bookmarkEnd w:id="10"/>
    </w:p>
    <w:p w14:paraId="2B8AD591" w14:textId="77777777" w:rsidR="00DC09A0" w:rsidRPr="00AF6A97" w:rsidRDefault="00DC09A0"/>
    <w:p w14:paraId="2B8AD592" w14:textId="77777777" w:rsidR="00DC09A0" w:rsidRPr="00AF6A97" w:rsidRDefault="0086364D">
      <w:pPr>
        <w:pStyle w:val="HEL11"/>
        <w:rPr>
          <w:rFonts w:cs="Calibri"/>
          <w:b w:val="0"/>
          <w:sz w:val="20"/>
        </w:rPr>
      </w:pPr>
      <w:r w:rsidRPr="00AF6A97">
        <w:rPr>
          <w:rFonts w:cs="Calibri"/>
          <w:b w:val="0"/>
          <w:sz w:val="20"/>
        </w:rPr>
        <w:t xml:space="preserve">    • zadání stavebníka</w:t>
      </w:r>
    </w:p>
    <w:p w14:paraId="2B8AD593" w14:textId="0637F8B1" w:rsidR="00DC09A0" w:rsidRPr="00AF6A97" w:rsidRDefault="0086364D">
      <w:pPr>
        <w:pStyle w:val="HEL11"/>
        <w:rPr>
          <w:rFonts w:cs="Calibri"/>
          <w:b w:val="0"/>
          <w:sz w:val="20"/>
        </w:rPr>
      </w:pPr>
      <w:r w:rsidRPr="00AF6A97">
        <w:rPr>
          <w:rFonts w:cs="Calibri"/>
          <w:b w:val="0"/>
          <w:sz w:val="20"/>
        </w:rPr>
        <w:t xml:space="preserve">    • geodetické zaměření pozemku</w:t>
      </w:r>
      <w:r w:rsidR="0033051B">
        <w:rPr>
          <w:rFonts w:cs="Calibri"/>
          <w:b w:val="0"/>
          <w:sz w:val="20"/>
        </w:rPr>
        <w:t>, stávající stav</w:t>
      </w:r>
    </w:p>
    <w:p w14:paraId="2B8AD594" w14:textId="3D0A67E7" w:rsidR="00DC09A0" w:rsidRDefault="0086364D">
      <w:pPr>
        <w:pStyle w:val="HEL11"/>
        <w:rPr>
          <w:rFonts w:cs="Calibri"/>
          <w:b w:val="0"/>
          <w:sz w:val="20"/>
        </w:rPr>
      </w:pPr>
      <w:r w:rsidRPr="00AF6A97">
        <w:rPr>
          <w:rFonts w:cs="Calibri"/>
          <w:b w:val="0"/>
          <w:sz w:val="20"/>
        </w:rPr>
        <w:t xml:space="preserve">    • snímek z katastrální mapy a výpis z</w:t>
      </w:r>
      <w:r w:rsidR="002F5A3D">
        <w:rPr>
          <w:rFonts w:cs="Calibri"/>
          <w:b w:val="0"/>
          <w:sz w:val="20"/>
        </w:rPr>
        <w:t> </w:t>
      </w:r>
      <w:r w:rsidRPr="00AF6A97">
        <w:rPr>
          <w:rFonts w:cs="Calibri"/>
          <w:b w:val="0"/>
          <w:sz w:val="20"/>
        </w:rPr>
        <w:t>KN</w:t>
      </w:r>
    </w:p>
    <w:p w14:paraId="3D1259B3" w14:textId="77777777" w:rsidR="002F5A3D" w:rsidRPr="00AF6A97" w:rsidRDefault="002F5A3D">
      <w:pPr>
        <w:pStyle w:val="HEL11"/>
        <w:rPr>
          <w:rFonts w:cs="Calibri"/>
          <w:b w:val="0"/>
          <w:sz w:val="20"/>
        </w:rPr>
      </w:pPr>
    </w:p>
    <w:p w14:paraId="2B8AD59C" w14:textId="77777777" w:rsidR="00DC09A0" w:rsidRPr="00EA4343" w:rsidRDefault="0086364D">
      <w:pPr>
        <w:pStyle w:val="Nadpis1"/>
        <w:numPr>
          <w:ilvl w:val="0"/>
          <w:numId w:val="3"/>
        </w:numPr>
      </w:pPr>
      <w:bookmarkStart w:id="11" w:name="_Toc523989813"/>
      <w:bookmarkStart w:id="12" w:name="_Toc313890436"/>
      <w:bookmarkStart w:id="13" w:name="_Toc380392821"/>
      <w:r w:rsidRPr="00EA4343">
        <w:t>Dopravní a stavební řešení</w:t>
      </w:r>
      <w:bookmarkEnd w:id="11"/>
      <w:bookmarkEnd w:id="12"/>
      <w:bookmarkEnd w:id="13"/>
      <w:r w:rsidRPr="00EA4343">
        <w:t xml:space="preserve"> </w:t>
      </w:r>
    </w:p>
    <w:p w14:paraId="2B8AD59D" w14:textId="77777777" w:rsidR="00DC09A0" w:rsidRPr="00EA4343" w:rsidRDefault="00DC09A0"/>
    <w:p w14:paraId="5ED8C100" w14:textId="6E783503" w:rsidR="005C3939" w:rsidRDefault="00964221">
      <w:pPr>
        <w:pStyle w:val="HEL12"/>
        <w:outlineLvl w:val="1"/>
        <w:rPr>
          <w:b w:val="0"/>
        </w:rPr>
      </w:pPr>
      <w:r>
        <w:rPr>
          <w:b w:val="0"/>
        </w:rPr>
        <w:t>Větev 01, jedná se o komunikaci délky cca 372 m.</w:t>
      </w:r>
    </w:p>
    <w:p w14:paraId="71FA50BC" w14:textId="300A4E58" w:rsidR="00964221" w:rsidRDefault="00964221">
      <w:pPr>
        <w:pStyle w:val="HEL12"/>
        <w:outlineLvl w:val="1"/>
        <w:rPr>
          <w:b w:val="0"/>
        </w:rPr>
      </w:pPr>
      <w:r>
        <w:rPr>
          <w:b w:val="0"/>
        </w:rPr>
        <w:t>Povrch komunikace bude proveden z penetračního makadamu, dle vzorového řezu, podél komunikace budou provedeny mělké příkopy pro zajištění odvodu srážkových vod, které budou částečně složit jako retenční příkop, vsakovací a vypařovací.</w:t>
      </w:r>
    </w:p>
    <w:p w14:paraId="562B9F4D" w14:textId="32EAFB72" w:rsidR="00964221" w:rsidRDefault="00964221">
      <w:pPr>
        <w:pStyle w:val="HEL12"/>
        <w:outlineLvl w:val="1"/>
        <w:rPr>
          <w:b w:val="0"/>
        </w:rPr>
      </w:pPr>
      <w:r>
        <w:rPr>
          <w:b w:val="0"/>
        </w:rPr>
        <w:t xml:space="preserve">Komunikace má základní šířku 3,5 m, místy je ve směrových obloucích rozšířena, místy je rozšířena pro umístění výhybny a v místě napojení dalších větví komunikací </w:t>
      </w:r>
      <w:r w:rsidR="002C3C94">
        <w:rPr>
          <w:b w:val="0"/>
        </w:rPr>
        <w:t>dochází k zaoblené v křižovatkových úsecích.</w:t>
      </w:r>
    </w:p>
    <w:p w14:paraId="1E3C17F2" w14:textId="5E13F9A9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>Podélný profil komunikace je dle stávajícího profilu komunikace, podélný profil je přílohou daného stavebního objektu a je možné je upravit dle stávajícího stavu s ohledem na přesnost zaměření, je zapotřebí aby veškeré výškové lomy byly zaoblené.</w:t>
      </w:r>
    </w:p>
    <w:p w14:paraId="09F13DC3" w14:textId="77777777" w:rsidR="002C3C94" w:rsidRDefault="002C3C94">
      <w:pPr>
        <w:pStyle w:val="HEL12"/>
        <w:outlineLvl w:val="1"/>
        <w:rPr>
          <w:b w:val="0"/>
        </w:rPr>
      </w:pPr>
    </w:p>
    <w:p w14:paraId="1BF62B4F" w14:textId="0EB34386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>V rámci stavebních prací pak dojde k dobudování sjezdů k jednotlivým rodinným domům. Ty nejsou v rámci podkladů geodetického zaměření zakresleny.</w:t>
      </w:r>
    </w:p>
    <w:p w14:paraId="3291C256" w14:textId="2F3B0D70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 xml:space="preserve">Sjezdy budou provedeny od komunikace k hranici pozemku, předpokládaná šířka je </w:t>
      </w:r>
      <w:proofErr w:type="gramStart"/>
      <w:r>
        <w:rPr>
          <w:b w:val="0"/>
        </w:rPr>
        <w:t>4m</w:t>
      </w:r>
      <w:proofErr w:type="gramEnd"/>
      <w:r>
        <w:rPr>
          <w:b w:val="0"/>
        </w:rPr>
        <w:t xml:space="preserve">, celková plocha je závislá od šířky uličního profilu. V rozpočtu je daná položka provedena jako předpokládaná výměra, která bude následně upravena dle skutečného stavu. Sjezdy budou provedeny ze štěrkodrti 0/63, </w:t>
      </w:r>
      <w:proofErr w:type="spellStart"/>
      <w:r>
        <w:rPr>
          <w:b w:val="0"/>
        </w:rPr>
        <w:t>tl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250mm</w:t>
      </w:r>
      <w:proofErr w:type="gramEnd"/>
      <w:r>
        <w:rPr>
          <w:b w:val="0"/>
        </w:rPr>
        <w:t xml:space="preserve"> s uzavřenou konstrukcí kameniva.</w:t>
      </w:r>
    </w:p>
    <w:p w14:paraId="38AB40F6" w14:textId="2A7FBA3F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>Částečně lze sjezd udělat ze stávajícího vykopaného materiálu z komunikace, kde může být daná konstrukční vrstva ve sjezdu rozprostřena v </w:t>
      </w:r>
      <w:proofErr w:type="spellStart"/>
      <w:r>
        <w:rPr>
          <w:b w:val="0"/>
        </w:rPr>
        <w:t>tl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100-150mm</w:t>
      </w:r>
      <w:proofErr w:type="gramEnd"/>
      <w:r>
        <w:rPr>
          <w:b w:val="0"/>
        </w:rPr>
        <w:t xml:space="preserve"> a následně pak bude doplněna konstrukce sjezdu štěrkodrtí 0/63.</w:t>
      </w:r>
    </w:p>
    <w:p w14:paraId="2D71CFF0" w14:textId="77777777" w:rsidR="002C3C94" w:rsidRDefault="002C3C94">
      <w:pPr>
        <w:pStyle w:val="HEL12"/>
        <w:outlineLvl w:val="1"/>
        <w:rPr>
          <w:b w:val="0"/>
        </w:rPr>
      </w:pPr>
    </w:p>
    <w:p w14:paraId="608E1740" w14:textId="2676F00C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>Základní svahy jsou provedeny ve sklonu 1:2, ty mohou být místně upraveny s ohledem na oplocení a další konstrukce.</w:t>
      </w:r>
    </w:p>
    <w:p w14:paraId="7E913CED" w14:textId="77777777" w:rsidR="002C3C94" w:rsidRDefault="002C3C94">
      <w:pPr>
        <w:pStyle w:val="HEL12"/>
        <w:outlineLvl w:val="1"/>
        <w:rPr>
          <w:b w:val="0"/>
        </w:rPr>
      </w:pPr>
    </w:p>
    <w:p w14:paraId="0D17668D" w14:textId="14774467" w:rsidR="002C3C94" w:rsidRDefault="002C3C94">
      <w:pPr>
        <w:pStyle w:val="HEL12"/>
        <w:outlineLvl w:val="1"/>
        <w:rPr>
          <w:b w:val="0"/>
        </w:rPr>
      </w:pPr>
      <w:r>
        <w:rPr>
          <w:b w:val="0"/>
        </w:rPr>
        <w:t xml:space="preserve">V daném uličním profilu se nachází velké množství inženýrských sítí, jedná se o vodovod, kanalizaci, datové i </w:t>
      </w:r>
      <w:proofErr w:type="spellStart"/>
      <w:proofErr w:type="gramStart"/>
      <w:r w:rsidR="00947D26">
        <w:rPr>
          <w:b w:val="0"/>
        </w:rPr>
        <w:t>el.kabely</w:t>
      </w:r>
      <w:proofErr w:type="spellEnd"/>
      <w:proofErr w:type="gramEnd"/>
      <w:r w:rsidR="00947D26">
        <w:rPr>
          <w:b w:val="0"/>
        </w:rPr>
        <w:t>.</w:t>
      </w:r>
    </w:p>
    <w:p w14:paraId="7C2C4248" w14:textId="77777777" w:rsidR="00947D26" w:rsidRDefault="00947D26">
      <w:pPr>
        <w:pStyle w:val="HEL12"/>
        <w:outlineLvl w:val="1"/>
        <w:rPr>
          <w:b w:val="0"/>
        </w:rPr>
      </w:pPr>
    </w:p>
    <w:p w14:paraId="652EE3FE" w14:textId="0C8E5FC3" w:rsidR="00947D26" w:rsidRDefault="00947D26">
      <w:pPr>
        <w:pStyle w:val="HEL12"/>
        <w:outlineLvl w:val="1"/>
        <w:rPr>
          <w:b w:val="0"/>
        </w:rPr>
      </w:pPr>
      <w:r>
        <w:rPr>
          <w:b w:val="0"/>
        </w:rPr>
        <w:t xml:space="preserve">Povrchové znaky </w:t>
      </w:r>
      <w:proofErr w:type="spellStart"/>
      <w:proofErr w:type="gramStart"/>
      <w:r>
        <w:rPr>
          <w:b w:val="0"/>
        </w:rPr>
        <w:t>inž.sítí</w:t>
      </w:r>
      <w:proofErr w:type="spellEnd"/>
      <w:proofErr w:type="gramEnd"/>
      <w:r>
        <w:rPr>
          <w:b w:val="0"/>
        </w:rPr>
        <w:t xml:space="preserve"> budou upraveny do nových výškových úrovní komunikace. S ohledem na konstrukční vrstvy z penetračního makadamu dojde k provedení obetonování povrchového znaku do klínu, aby v případě obnažení povrchové znaku nedošlo k poškození pojezdem motorových vozidel.</w:t>
      </w:r>
    </w:p>
    <w:p w14:paraId="0B6CA66B" w14:textId="77777777" w:rsidR="00947D26" w:rsidRDefault="00947D26">
      <w:pPr>
        <w:pStyle w:val="HEL12"/>
        <w:outlineLvl w:val="1"/>
        <w:rPr>
          <w:b w:val="0"/>
        </w:rPr>
      </w:pPr>
    </w:p>
    <w:p w14:paraId="44B5C2D1" w14:textId="6A03A1A3" w:rsidR="00947D26" w:rsidRDefault="00947D26">
      <w:pPr>
        <w:pStyle w:val="HEL12"/>
        <w:outlineLvl w:val="1"/>
        <w:rPr>
          <w:b w:val="0"/>
        </w:rPr>
      </w:pPr>
      <w:r>
        <w:rPr>
          <w:b w:val="0"/>
        </w:rPr>
        <w:t xml:space="preserve">Podél komunikace, kde bude dané možné s ohledem na výškové řešení </w:t>
      </w:r>
      <w:proofErr w:type="spellStart"/>
      <w:r>
        <w:rPr>
          <w:b w:val="0"/>
        </w:rPr>
        <w:t>dojdek</w:t>
      </w:r>
      <w:proofErr w:type="spellEnd"/>
      <w:r>
        <w:rPr>
          <w:b w:val="0"/>
        </w:rPr>
        <w:t xml:space="preserve"> vy budování mělkých průlehů v hloubce cca 30 cm.</w:t>
      </w:r>
      <w:r w:rsidR="00593D27">
        <w:rPr>
          <w:b w:val="0"/>
        </w:rPr>
        <w:t xml:space="preserve"> S ohledem na chybějící zaměření stávajících stromů v geodetickém zaměřené dojde k přesné úpravě průlehu na místě stavby s ohledem na aktuální stav.</w:t>
      </w:r>
    </w:p>
    <w:p w14:paraId="3C512050" w14:textId="77777777" w:rsidR="00947D26" w:rsidRDefault="00947D26">
      <w:pPr>
        <w:pStyle w:val="HEL12"/>
        <w:outlineLvl w:val="1"/>
        <w:rPr>
          <w:b w:val="0"/>
        </w:rPr>
      </w:pPr>
    </w:p>
    <w:p w14:paraId="44A43E12" w14:textId="77777777" w:rsidR="00947D26" w:rsidRDefault="00947D26">
      <w:pPr>
        <w:pStyle w:val="HEL12"/>
        <w:outlineLvl w:val="1"/>
        <w:rPr>
          <w:b w:val="0"/>
        </w:rPr>
      </w:pPr>
    </w:p>
    <w:p w14:paraId="32792362" w14:textId="77777777" w:rsidR="00551493" w:rsidRPr="00EA4343" w:rsidRDefault="00551493">
      <w:pPr>
        <w:pStyle w:val="HEL12"/>
        <w:outlineLvl w:val="1"/>
        <w:rPr>
          <w:b w:val="0"/>
        </w:rPr>
      </w:pPr>
    </w:p>
    <w:p w14:paraId="2B8AD5AB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14" w:name="_Toc523989822"/>
      <w:bookmarkStart w:id="15" w:name="_Toc313890440"/>
      <w:bookmarkStart w:id="16" w:name="_Toc380392831"/>
      <w:r w:rsidRPr="00CA2B21">
        <w:lastRenderedPageBreak/>
        <w:t>Zemní práce</w:t>
      </w:r>
      <w:bookmarkEnd w:id="14"/>
      <w:bookmarkEnd w:id="15"/>
      <w:bookmarkEnd w:id="16"/>
    </w:p>
    <w:p w14:paraId="2B8AD5AC" w14:textId="77777777" w:rsidR="00DC09A0" w:rsidRPr="00CA2B21" w:rsidRDefault="00DC09A0">
      <w:pPr>
        <w:widowControl w:val="0"/>
        <w:ind w:left="708"/>
        <w:jc w:val="both"/>
        <w:rPr>
          <w:b/>
        </w:rPr>
      </w:pPr>
    </w:p>
    <w:p w14:paraId="2B8AD5AD" w14:textId="549E26A4" w:rsidR="00DC09A0" w:rsidRPr="00CA2B21" w:rsidRDefault="0086364D">
      <w:pPr>
        <w:ind w:firstLine="0"/>
        <w:jc w:val="both"/>
        <w:rPr>
          <w:rFonts w:ascii="Calibri" w:hAnsi="Calibri" w:cs="Calibri"/>
          <w:b/>
          <w:sz w:val="20"/>
        </w:rPr>
      </w:pPr>
      <w:r w:rsidRPr="00CA2B21">
        <w:rPr>
          <w:rFonts w:ascii="Calibri" w:hAnsi="Calibri" w:cs="Calibri"/>
          <w:sz w:val="20"/>
        </w:rPr>
        <w:t xml:space="preserve">Dle ČSN 72 1006 (Kontrola zhutnění zemin a sypanin) pro zeminy v aktivní zóně platí minimální ověřená míra zhutnění </w:t>
      </w:r>
      <w:proofErr w:type="gramStart"/>
      <w:r w:rsidRPr="00CA2B21">
        <w:rPr>
          <w:rFonts w:ascii="Calibri" w:hAnsi="Calibri" w:cs="Calibri"/>
          <w:b/>
          <w:sz w:val="20"/>
        </w:rPr>
        <w:t>102%</w:t>
      </w:r>
      <w:proofErr w:type="gramEnd"/>
      <w:r w:rsidRPr="00CA2B21">
        <w:rPr>
          <w:rFonts w:ascii="Calibri" w:hAnsi="Calibri" w:cs="Calibri"/>
          <w:b/>
          <w:sz w:val="20"/>
        </w:rPr>
        <w:t xml:space="preserve"> PS</w:t>
      </w:r>
      <w:r w:rsidRPr="00CA2B21">
        <w:rPr>
          <w:rFonts w:ascii="Calibri" w:hAnsi="Calibri" w:cs="Calibri"/>
          <w:sz w:val="20"/>
        </w:rPr>
        <w:t xml:space="preserve"> u zeminy F5 a F6 a </w:t>
      </w:r>
      <w:proofErr w:type="gramStart"/>
      <w:r w:rsidRPr="00CA2B21">
        <w:rPr>
          <w:rFonts w:ascii="Calibri" w:hAnsi="Calibri" w:cs="Calibri"/>
          <w:b/>
          <w:sz w:val="20"/>
        </w:rPr>
        <w:t>100%</w:t>
      </w:r>
      <w:proofErr w:type="gramEnd"/>
      <w:r w:rsidRPr="00CA2B21">
        <w:rPr>
          <w:rFonts w:ascii="Calibri" w:hAnsi="Calibri" w:cs="Calibri"/>
          <w:b/>
          <w:sz w:val="20"/>
        </w:rPr>
        <w:t xml:space="preserve"> PS</w:t>
      </w:r>
      <w:r w:rsidRPr="00CA2B21">
        <w:rPr>
          <w:rFonts w:ascii="Calibri" w:hAnsi="Calibri" w:cs="Calibri"/>
          <w:sz w:val="20"/>
        </w:rPr>
        <w:t xml:space="preserve"> pro ostatní zeminy, resp. </w:t>
      </w:r>
      <w:r w:rsidRPr="00CA2B21">
        <w:rPr>
          <w:rFonts w:ascii="Calibri" w:hAnsi="Calibri" w:cs="Calibri"/>
          <w:b/>
          <w:sz w:val="20"/>
        </w:rPr>
        <w:t>I</w:t>
      </w:r>
      <w:r w:rsidRPr="00CA2B21">
        <w:rPr>
          <w:rFonts w:ascii="Calibri" w:hAnsi="Calibri" w:cs="Calibri"/>
          <w:b/>
          <w:sz w:val="20"/>
          <w:vertAlign w:val="subscript"/>
        </w:rPr>
        <w:t>d</w:t>
      </w:r>
      <w:r w:rsidRPr="00CA2B21">
        <w:rPr>
          <w:rFonts w:ascii="Calibri" w:hAnsi="Calibri" w:cs="Calibri"/>
          <w:b/>
          <w:sz w:val="20"/>
        </w:rPr>
        <w:t xml:space="preserve"> = 0,9</w:t>
      </w:r>
      <w:r w:rsidRPr="00CA2B21">
        <w:rPr>
          <w:rFonts w:ascii="Calibri" w:hAnsi="Calibri" w:cs="Calibri"/>
          <w:sz w:val="20"/>
        </w:rPr>
        <w:t xml:space="preserve"> (nesoudržné zeminy), </w:t>
      </w:r>
      <w:proofErr w:type="gramStart"/>
      <w:r w:rsidRPr="00CA2B21">
        <w:rPr>
          <w:rFonts w:ascii="Calibri" w:hAnsi="Calibri" w:cs="Calibri"/>
          <w:b/>
          <w:sz w:val="20"/>
        </w:rPr>
        <w:t>95%</w:t>
      </w:r>
      <w:proofErr w:type="gramEnd"/>
      <w:r w:rsidRPr="00CA2B21">
        <w:rPr>
          <w:rFonts w:ascii="Calibri" w:hAnsi="Calibri" w:cs="Calibri"/>
          <w:b/>
          <w:sz w:val="20"/>
        </w:rPr>
        <w:t xml:space="preserve"> PS</w:t>
      </w:r>
      <w:r w:rsidRPr="00CA2B21">
        <w:rPr>
          <w:rFonts w:ascii="Calibri" w:hAnsi="Calibri" w:cs="Calibri"/>
          <w:sz w:val="20"/>
        </w:rPr>
        <w:t xml:space="preserve"> (v tělese násypu) resp. </w:t>
      </w:r>
      <w:r w:rsidRPr="00CA2B21">
        <w:rPr>
          <w:rFonts w:ascii="Calibri" w:hAnsi="Calibri" w:cs="Calibri"/>
          <w:b/>
          <w:sz w:val="20"/>
        </w:rPr>
        <w:t>92 % PS</w:t>
      </w:r>
      <w:r w:rsidRPr="00CA2B21">
        <w:rPr>
          <w:rFonts w:ascii="Calibri" w:hAnsi="Calibri" w:cs="Calibri"/>
          <w:sz w:val="20"/>
        </w:rPr>
        <w:t xml:space="preserve"> (v podloží násypu do hloubky 0,50 m). Na zemní pláni vozovky musí být dosaženo předepsaného modulu přetvárnosti </w:t>
      </w:r>
      <w:r w:rsidRPr="00CA2B21">
        <w:rPr>
          <w:rFonts w:ascii="Calibri" w:hAnsi="Calibri" w:cs="Calibri"/>
          <w:b/>
          <w:sz w:val="20"/>
        </w:rPr>
        <w:t>E</w:t>
      </w:r>
      <w:r w:rsidRPr="00CA2B21">
        <w:rPr>
          <w:rFonts w:ascii="Calibri" w:hAnsi="Calibri" w:cs="Calibri"/>
          <w:b/>
          <w:sz w:val="20"/>
          <w:vertAlign w:val="subscript"/>
        </w:rPr>
        <w:t xml:space="preserve">def,2 </w:t>
      </w:r>
      <w:r w:rsidRPr="00CA2B21">
        <w:rPr>
          <w:rFonts w:ascii="Calibri" w:hAnsi="Calibri" w:cs="Calibri"/>
          <w:b/>
          <w:sz w:val="20"/>
        </w:rPr>
        <w:t xml:space="preserve">= </w:t>
      </w:r>
      <w:r w:rsidR="002C3C94">
        <w:rPr>
          <w:rFonts w:ascii="Calibri" w:hAnsi="Calibri" w:cs="Calibri"/>
          <w:b/>
          <w:sz w:val="20"/>
        </w:rPr>
        <w:t>30</w:t>
      </w:r>
      <w:r w:rsidRPr="00CA2B21">
        <w:rPr>
          <w:rFonts w:ascii="Calibri" w:hAnsi="Calibri" w:cs="Calibri"/>
          <w:b/>
          <w:sz w:val="20"/>
        </w:rPr>
        <w:t xml:space="preserve"> </w:t>
      </w:r>
      <w:proofErr w:type="spellStart"/>
      <w:r w:rsidRPr="00CA2B21">
        <w:rPr>
          <w:rFonts w:ascii="Calibri" w:hAnsi="Calibri" w:cs="Calibri"/>
          <w:b/>
          <w:sz w:val="20"/>
        </w:rPr>
        <w:t>MPa</w:t>
      </w:r>
      <w:proofErr w:type="spellEnd"/>
      <w:r w:rsidRPr="00CA2B21">
        <w:rPr>
          <w:rFonts w:ascii="Calibri" w:hAnsi="Calibri" w:cs="Calibri"/>
          <w:sz w:val="20"/>
        </w:rPr>
        <w:t xml:space="preserve">. </w:t>
      </w:r>
    </w:p>
    <w:p w14:paraId="2B8AD5AE" w14:textId="77777777" w:rsidR="00DC09A0" w:rsidRPr="00CA2B21" w:rsidRDefault="00DC09A0">
      <w:pPr>
        <w:widowControl w:val="0"/>
        <w:ind w:firstLine="0"/>
        <w:jc w:val="both"/>
        <w:rPr>
          <w:rFonts w:ascii="Calibri" w:hAnsi="Calibri" w:cs="Calibri"/>
          <w:sz w:val="20"/>
        </w:rPr>
      </w:pPr>
    </w:p>
    <w:p w14:paraId="2B8AD5AF" w14:textId="77777777" w:rsidR="00DC09A0" w:rsidRPr="00CA2B21" w:rsidRDefault="0086364D">
      <w:pPr>
        <w:pStyle w:val="Zkladntextodsazen"/>
        <w:widowControl w:val="0"/>
        <w:ind w:left="0" w:firstLine="0"/>
        <w:jc w:val="both"/>
        <w:rPr>
          <w:rFonts w:ascii="Calibri" w:hAnsi="Calibri" w:cs="Calibri"/>
          <w:sz w:val="20"/>
          <w:u w:val="single"/>
        </w:rPr>
      </w:pPr>
      <w:r w:rsidRPr="00CA2B21">
        <w:rPr>
          <w:rFonts w:ascii="Calibri" w:hAnsi="Calibri" w:cs="Calibri"/>
          <w:sz w:val="20"/>
          <w:u w:val="single"/>
        </w:rPr>
        <w:t>V rámci sledování kvality zemních prací budou v souladu s výše citovanými předpisy prováděny následující typy zkoušek:</w:t>
      </w:r>
    </w:p>
    <w:p w14:paraId="2B8AD5B0" w14:textId="77777777" w:rsidR="00DC09A0" w:rsidRPr="00CA2B21" w:rsidRDefault="0086364D">
      <w:pPr>
        <w:widowControl w:val="0"/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průkazní (ověření vlastností používaných materiálů, je možné nahradit prohlášením o shodě)</w:t>
      </w:r>
    </w:p>
    <w:p w14:paraId="2B8AD5B1" w14:textId="77777777" w:rsidR="00DC09A0" w:rsidRPr="00CA2B21" w:rsidRDefault="0086364D">
      <w:pPr>
        <w:widowControl w:val="0"/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kontrolní (pro ověření shody s průkazními zkouškami během výstavby)</w:t>
      </w:r>
    </w:p>
    <w:p w14:paraId="2B8AD5B2" w14:textId="77777777" w:rsidR="00DC09A0" w:rsidRPr="00CA2B21" w:rsidRDefault="0086364D">
      <w:pPr>
        <w:widowControl w:val="0"/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přejímací (v závislosti na požadavcích investora)</w:t>
      </w:r>
    </w:p>
    <w:p w14:paraId="2B8AD5B3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Druh (např. vlhkost, míra </w:t>
      </w:r>
      <w:proofErr w:type="gramStart"/>
      <w:r w:rsidRPr="00CA2B21">
        <w:rPr>
          <w:rFonts w:ascii="Calibri" w:hAnsi="Calibri" w:cs="Calibri"/>
          <w:sz w:val="20"/>
        </w:rPr>
        <w:t>zhutnění,</w:t>
      </w:r>
      <w:proofErr w:type="gramEnd"/>
      <w:r w:rsidRPr="00CA2B21">
        <w:rPr>
          <w:rFonts w:ascii="Calibri" w:hAnsi="Calibri" w:cs="Calibri"/>
          <w:sz w:val="20"/>
        </w:rPr>
        <w:t xml:space="preserve"> atd.) a četnost zkoušek jsou uvedeny v ČSN 73 6133.</w:t>
      </w:r>
    </w:p>
    <w:p w14:paraId="2B8AD5B4" w14:textId="77777777" w:rsidR="00DC09A0" w:rsidRPr="00CA2B21" w:rsidRDefault="0086364D">
      <w:pPr>
        <w:pStyle w:val="HEL11"/>
        <w:rPr>
          <w:rFonts w:cs="Calibri"/>
          <w:sz w:val="20"/>
        </w:rPr>
      </w:pPr>
      <w:r w:rsidRPr="00CA2B21">
        <w:rPr>
          <w:rFonts w:cs="Calibri"/>
          <w:sz w:val="20"/>
        </w:rPr>
        <w:t xml:space="preserve">Zemina v aktivní zóně musí odpovídat normě ČSN 73 6133. </w:t>
      </w:r>
    </w:p>
    <w:p w14:paraId="2B8AD5B5" w14:textId="77777777" w:rsidR="00DC09A0" w:rsidRDefault="00DC09A0">
      <w:pPr>
        <w:pStyle w:val="HEL11"/>
        <w:rPr>
          <w:rFonts w:cs="Calibri"/>
          <w:b w:val="0"/>
          <w:sz w:val="20"/>
          <w:highlight w:val="yellow"/>
        </w:rPr>
      </w:pPr>
    </w:p>
    <w:p w14:paraId="7891344B" w14:textId="77777777" w:rsidR="00595405" w:rsidRPr="001511FA" w:rsidRDefault="00595405">
      <w:pPr>
        <w:pStyle w:val="HEL11"/>
        <w:rPr>
          <w:rFonts w:cs="Calibri"/>
          <w:b w:val="0"/>
          <w:sz w:val="20"/>
          <w:highlight w:val="yellow"/>
        </w:rPr>
      </w:pPr>
    </w:p>
    <w:p w14:paraId="2B8AD5B7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17" w:name="_Toc523989823"/>
      <w:bookmarkStart w:id="18" w:name="_Toc313890441"/>
      <w:bookmarkStart w:id="19" w:name="_Toc380392835"/>
      <w:r w:rsidRPr="00CA2B21">
        <w:t>Inženýrské sítě</w:t>
      </w:r>
      <w:bookmarkEnd w:id="17"/>
      <w:bookmarkEnd w:id="18"/>
      <w:bookmarkEnd w:id="19"/>
    </w:p>
    <w:p w14:paraId="2B8AD5B8" w14:textId="77777777" w:rsidR="00DC09A0" w:rsidRPr="00CA2B21" w:rsidRDefault="00DC09A0">
      <w:pPr>
        <w:ind w:left="708"/>
        <w:jc w:val="both"/>
        <w:rPr>
          <w:u w:val="single"/>
        </w:rPr>
      </w:pPr>
    </w:p>
    <w:p w14:paraId="2B8AD5B9" w14:textId="77777777" w:rsidR="00DC09A0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Poloha všech stávajících inženýrských sítí je v dokumentaci vyznačena pouze informativně dle zaměření. Před zahájením stavebních prací je nutno jejich průběh vytyčit, viditelně označit a dbát všech odpovídajících předpisů. Vytyčení všech sítí musí zajistit zhotovitel stavby.</w:t>
      </w:r>
    </w:p>
    <w:p w14:paraId="11D84CA6" w14:textId="77777777" w:rsidR="002C3C94" w:rsidRDefault="002C3C94">
      <w:pPr>
        <w:ind w:firstLine="0"/>
        <w:jc w:val="both"/>
        <w:rPr>
          <w:rFonts w:ascii="Calibri" w:hAnsi="Calibri" w:cs="Calibri"/>
          <w:sz w:val="20"/>
        </w:rPr>
      </w:pPr>
    </w:p>
    <w:p w14:paraId="75D477D2" w14:textId="0ABCDFAF" w:rsidR="002C3C94" w:rsidRDefault="002C3C94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 rámci stavební přípravy dojde k vytyčení stávajících inženýrských sítí a zajištění kopanými sondami jejich skutečné </w:t>
      </w:r>
      <w:proofErr w:type="gramStart"/>
      <w:r>
        <w:rPr>
          <w:rFonts w:ascii="Calibri" w:hAnsi="Calibri" w:cs="Calibri"/>
          <w:sz w:val="20"/>
        </w:rPr>
        <w:t>polohy</w:t>
      </w:r>
      <w:proofErr w:type="gramEnd"/>
      <w:r>
        <w:rPr>
          <w:rFonts w:ascii="Calibri" w:hAnsi="Calibri" w:cs="Calibri"/>
          <w:sz w:val="20"/>
        </w:rPr>
        <w:t xml:space="preserve"> a především jejich skutečné hloubky.</w:t>
      </w:r>
    </w:p>
    <w:p w14:paraId="2B8AD5BA" w14:textId="77777777" w:rsidR="00DC09A0" w:rsidRPr="001511FA" w:rsidRDefault="00DC09A0">
      <w:pPr>
        <w:ind w:firstLine="0"/>
        <w:jc w:val="both"/>
        <w:rPr>
          <w:rFonts w:ascii="Calibri" w:hAnsi="Calibri" w:cs="Calibri"/>
          <w:sz w:val="20"/>
          <w:highlight w:val="yellow"/>
        </w:rPr>
      </w:pPr>
    </w:p>
    <w:p w14:paraId="2B8AD5BF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20" w:name="_Toc523989826"/>
      <w:bookmarkStart w:id="21" w:name="_Toc313541690"/>
      <w:bookmarkStart w:id="22" w:name="_Toc313884706"/>
      <w:bookmarkStart w:id="23" w:name="_Toc313890447"/>
      <w:bookmarkStart w:id="24" w:name="_Toc380392839"/>
      <w:r w:rsidRPr="00CA2B21">
        <w:t>Vytyčení</w:t>
      </w:r>
      <w:bookmarkEnd w:id="20"/>
      <w:bookmarkEnd w:id="21"/>
      <w:bookmarkEnd w:id="22"/>
      <w:bookmarkEnd w:id="23"/>
      <w:bookmarkEnd w:id="24"/>
    </w:p>
    <w:p w14:paraId="2B8AD5C0" w14:textId="77777777" w:rsidR="00DC09A0" w:rsidRPr="00CA2B21" w:rsidRDefault="00DC09A0">
      <w:pPr>
        <w:keepNext/>
        <w:ind w:left="709"/>
        <w:jc w:val="both"/>
        <w:rPr>
          <w:rFonts w:ascii="Calibri" w:hAnsi="Calibri" w:cs="Calibri"/>
        </w:rPr>
      </w:pPr>
    </w:p>
    <w:p w14:paraId="2B8AD5C1" w14:textId="77777777" w:rsidR="00DC09A0" w:rsidRDefault="0086364D">
      <w:pPr>
        <w:pStyle w:val="Zkladntext"/>
        <w:spacing w:line="240" w:lineRule="auto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Stavba bude vytyčena na základy vytyčovacích bodu v soustavě JTSK, </w:t>
      </w:r>
      <w:proofErr w:type="spellStart"/>
      <w:r w:rsidRPr="00CA2B21">
        <w:rPr>
          <w:rFonts w:ascii="Calibri" w:hAnsi="Calibri" w:cs="Calibri"/>
          <w:sz w:val="20"/>
        </w:rPr>
        <w:t>BpV</w:t>
      </w:r>
      <w:proofErr w:type="spellEnd"/>
      <w:r w:rsidRPr="00CA2B21">
        <w:rPr>
          <w:rFonts w:ascii="Calibri" w:hAnsi="Calibri" w:cs="Calibri"/>
          <w:sz w:val="20"/>
        </w:rPr>
        <w:t>.</w:t>
      </w:r>
    </w:p>
    <w:p w14:paraId="4FC5CDDB" w14:textId="77777777" w:rsidR="000961DD" w:rsidRDefault="000961DD">
      <w:pPr>
        <w:pStyle w:val="Zkladntext"/>
        <w:spacing w:line="240" w:lineRule="auto"/>
        <w:rPr>
          <w:rFonts w:ascii="Calibri" w:hAnsi="Calibri" w:cs="Calibri"/>
          <w:sz w:val="20"/>
        </w:rPr>
      </w:pPr>
    </w:p>
    <w:p w14:paraId="60C782B3" w14:textId="2886B963" w:rsidR="000961DD" w:rsidRDefault="000961DD">
      <w:pPr>
        <w:pStyle w:val="Zkladntext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 rámci stavby jsou provedeny vytyčení osy komunikace a směrových napojení jednotlivých křižovatek.</w:t>
      </w:r>
    </w:p>
    <w:p w14:paraId="5D4EBE80" w14:textId="0385DB67" w:rsidR="000961DD" w:rsidRPr="00CA2B21" w:rsidRDefault="000961DD">
      <w:pPr>
        <w:pStyle w:val="Zkladntext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 rámci projektu jsou pak provedeny pracovní řezy á 20 m, ze kterých pak následně budou vytyčeny hrany komunikace a sklony, respektive příkopy.</w:t>
      </w:r>
    </w:p>
    <w:p w14:paraId="2B8AD5C2" w14:textId="77777777" w:rsidR="00DC09A0" w:rsidRPr="00CA2B21" w:rsidRDefault="00DC09A0">
      <w:pPr>
        <w:pStyle w:val="Zkladntext"/>
        <w:spacing w:line="240" w:lineRule="auto"/>
        <w:rPr>
          <w:rFonts w:ascii="Calibri" w:hAnsi="Calibri" w:cs="Calibri"/>
          <w:sz w:val="20"/>
        </w:rPr>
      </w:pPr>
    </w:p>
    <w:p w14:paraId="2B8AD5C3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25" w:name="_Toc523989827"/>
      <w:bookmarkStart w:id="26" w:name="_Toc313890448"/>
      <w:bookmarkStart w:id="27" w:name="_Toc380392840"/>
      <w:r w:rsidRPr="00CA2B21">
        <w:t>Zajištění bezpečnosti provozu stavby při jejím užívání</w:t>
      </w:r>
      <w:bookmarkEnd w:id="25"/>
      <w:bookmarkEnd w:id="26"/>
      <w:bookmarkEnd w:id="27"/>
    </w:p>
    <w:p w14:paraId="2B8AD5C4" w14:textId="77777777" w:rsidR="00DC09A0" w:rsidRPr="00CA2B21" w:rsidRDefault="00DC09A0"/>
    <w:p w14:paraId="2B8AD5C5" w14:textId="77777777" w:rsidR="00DC09A0" w:rsidRPr="00CA2B21" w:rsidRDefault="0086364D">
      <w:pPr>
        <w:pStyle w:val="Zkladntext"/>
        <w:spacing w:line="240" w:lineRule="auto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Při práci je nutné dodržovat vyhlášku č. 591/2006 sbírky, Ochrana a bezpečnost zdraví na staveništi. Dále je nutné dodržovat technologické postupy a technické předpisy pro jednotlivé druhy prací. Při realizaci je nutné, aby dodavatel využíval veškeré zařízení jen pro ty účely, pro které jsou navrženy, a dodržoval zásady určené v této části dokumentace. Při provádění stavebních prací je nutné dodržovat všechny bezpečnostní předpisy ve stavebnictví a respektovat zejména:</w:t>
      </w:r>
    </w:p>
    <w:p w14:paraId="2B8AD5C6" w14:textId="77777777" w:rsidR="00DC09A0" w:rsidRPr="00CA2B21" w:rsidRDefault="00DC09A0">
      <w:pPr>
        <w:pStyle w:val="Zkladntext"/>
        <w:spacing w:line="240" w:lineRule="auto"/>
        <w:rPr>
          <w:rFonts w:ascii="Calibri" w:hAnsi="Calibri" w:cs="Calibri"/>
          <w:sz w:val="20"/>
        </w:rPr>
      </w:pPr>
    </w:p>
    <w:p w14:paraId="2B8AD5C7" w14:textId="77777777" w:rsidR="00DC09A0" w:rsidRPr="00CA2B21" w:rsidRDefault="0086364D">
      <w:pPr>
        <w:pStyle w:val="Zkladntext"/>
        <w:spacing w:line="240" w:lineRule="auto"/>
        <w:ind w:left="709" w:hanging="709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a) </w:t>
      </w:r>
      <w:r w:rsidRPr="00CA2B21">
        <w:rPr>
          <w:rFonts w:ascii="Calibri" w:hAnsi="Calibri" w:cs="Calibri"/>
          <w:sz w:val="20"/>
        </w:rPr>
        <w:tab/>
        <w:t>Ochranu proti hluku a vibracím. Dodavatel stavebních prací je povinen používat především stroje a mechanismy v dobrém technickém stavu a jejich hlučnost nepřekračuje hodnoty stanovené v technickém osvědčení.</w:t>
      </w:r>
    </w:p>
    <w:p w14:paraId="2B8AD5C8" w14:textId="77777777" w:rsidR="00DC09A0" w:rsidRPr="00CA2B21" w:rsidRDefault="0086364D">
      <w:pPr>
        <w:pStyle w:val="Zkladntext"/>
        <w:spacing w:line="240" w:lineRule="auto"/>
        <w:ind w:left="709" w:hanging="709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c) </w:t>
      </w:r>
      <w:r w:rsidRPr="00CA2B21">
        <w:rPr>
          <w:rFonts w:ascii="Calibri" w:hAnsi="Calibri" w:cs="Calibri"/>
          <w:sz w:val="20"/>
        </w:rPr>
        <w:tab/>
        <w:t>Ochranu proti znečištění povrchových i podzemních vod. Po dobu výstavby je nutno při provádění stavebních prací a provozu zařízení staveniště vhodným způsobem zabezpečit, aby nemohlo dojít ke znečištění vodního toku. Jedná se zejména o vhodný způsob odvádění dešťových vod z provozních, výrobních a skladovacích ploch staveniště.</w:t>
      </w:r>
    </w:p>
    <w:p w14:paraId="2B8AD5C9" w14:textId="77777777" w:rsidR="00DC09A0" w:rsidRPr="00CA2B21" w:rsidRDefault="0086364D">
      <w:pPr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CA2B21">
        <w:rPr>
          <w:rFonts w:ascii="Calibri" w:hAnsi="Calibri" w:cs="Calibri"/>
          <w:sz w:val="20"/>
          <w:szCs w:val="20"/>
        </w:rPr>
        <w:t xml:space="preserve">d) </w:t>
      </w:r>
      <w:r w:rsidRPr="00CA2B21">
        <w:rPr>
          <w:rFonts w:ascii="Calibri" w:hAnsi="Calibri" w:cs="Calibri"/>
          <w:sz w:val="20"/>
          <w:szCs w:val="20"/>
        </w:rPr>
        <w:tab/>
        <w:t>Ochrana stávající zeleně.</w:t>
      </w:r>
    </w:p>
    <w:p w14:paraId="2B8AD5CA" w14:textId="77777777" w:rsidR="00DC09A0" w:rsidRPr="001511FA" w:rsidRDefault="00DC09A0">
      <w:pPr>
        <w:jc w:val="both"/>
        <w:rPr>
          <w:b/>
          <w:sz w:val="24"/>
          <w:highlight w:val="yellow"/>
        </w:rPr>
      </w:pPr>
    </w:p>
    <w:p w14:paraId="2B8AD5CB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28" w:name="_Toc523989828"/>
      <w:bookmarkStart w:id="29" w:name="_Toc313541692"/>
      <w:bookmarkStart w:id="30" w:name="_Toc313884708"/>
      <w:bookmarkStart w:id="31" w:name="_Toc313890449"/>
      <w:bookmarkStart w:id="32" w:name="_Toc380392841"/>
      <w:r w:rsidRPr="00CA2B21">
        <w:t>Základní technologické požadavky</w:t>
      </w:r>
      <w:bookmarkEnd w:id="28"/>
      <w:bookmarkEnd w:id="29"/>
      <w:bookmarkEnd w:id="30"/>
      <w:bookmarkEnd w:id="31"/>
      <w:bookmarkEnd w:id="32"/>
    </w:p>
    <w:p w14:paraId="2B8AD5CC" w14:textId="77777777" w:rsidR="00DC09A0" w:rsidRPr="00CA2B21" w:rsidRDefault="00DC09A0">
      <w:pPr>
        <w:keepNext/>
        <w:ind w:left="709"/>
        <w:jc w:val="both"/>
        <w:rPr>
          <w:rFonts w:ascii="Calibri" w:hAnsi="Calibri" w:cs="Calibri"/>
        </w:rPr>
      </w:pPr>
    </w:p>
    <w:p w14:paraId="2B8AD5CD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Při realizaci musí být v plném rozsahu dodržovány příslušné Technické kvalitativní podmínky (TKP) staveb pozemních komunikací. Požadavky na kvalitu a zásady zkoušení jsou podrobně v těchto TKP specifikovány. </w:t>
      </w:r>
    </w:p>
    <w:p w14:paraId="2B8AD5CE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  <w:u w:val="single"/>
        </w:rPr>
      </w:pPr>
      <w:r w:rsidRPr="00CA2B21">
        <w:rPr>
          <w:rFonts w:ascii="Calibri" w:hAnsi="Calibri" w:cs="Calibri"/>
          <w:sz w:val="20"/>
          <w:u w:val="single"/>
        </w:rPr>
        <w:t>Zejména TKP:</w:t>
      </w:r>
    </w:p>
    <w:p w14:paraId="2B8AD5CF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t xml:space="preserve">1 - </w:t>
      </w:r>
      <w:hyperlink r:id="rId8">
        <w:r w:rsidRPr="00CA2B21">
          <w:rPr>
            <w:rStyle w:val="Internetovodkaz"/>
            <w:rFonts w:ascii="Calibri" w:hAnsi="Calibri" w:cs="Calibri"/>
            <w:color w:val="auto"/>
            <w:sz w:val="20"/>
          </w:rPr>
          <w:t xml:space="preserve">Všeobecně (vč. příloh </w:t>
        </w:r>
        <w:proofErr w:type="gramStart"/>
        <w:r w:rsidRPr="00CA2B21">
          <w:rPr>
            <w:rStyle w:val="Internetovodkaz"/>
            <w:rFonts w:ascii="Calibri" w:hAnsi="Calibri" w:cs="Calibri"/>
            <w:color w:val="auto"/>
            <w:sz w:val="20"/>
          </w:rPr>
          <w:t>1 – 9</w:t>
        </w:r>
        <w:proofErr w:type="gramEnd"/>
        <w:r w:rsidRPr="00CA2B21">
          <w:rPr>
            <w:rStyle w:val="Internetovodkaz"/>
            <w:rFonts w:ascii="Calibri" w:hAnsi="Calibri" w:cs="Calibri"/>
            <w:color w:val="auto"/>
            <w:sz w:val="20"/>
          </w:rPr>
          <w:t>)</w:t>
        </w:r>
      </w:hyperlink>
    </w:p>
    <w:p w14:paraId="2B8AD5D0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t xml:space="preserve">2 - </w:t>
      </w:r>
      <w:hyperlink r:id="rId9">
        <w:r w:rsidRPr="00CA2B21">
          <w:rPr>
            <w:rStyle w:val="Internetovodkaz"/>
            <w:rFonts w:ascii="Calibri" w:hAnsi="Calibri" w:cs="Calibri"/>
            <w:color w:val="auto"/>
            <w:sz w:val="20"/>
          </w:rPr>
          <w:t>Příprava staveniště</w:t>
        </w:r>
      </w:hyperlink>
    </w:p>
    <w:p w14:paraId="2B8AD5D1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lastRenderedPageBreak/>
        <w:t xml:space="preserve">3 - </w:t>
      </w:r>
      <w:hyperlink r:id="rId10">
        <w:r w:rsidRPr="00CA2B21">
          <w:rPr>
            <w:rStyle w:val="Internetovodkaz"/>
            <w:rFonts w:ascii="Calibri" w:hAnsi="Calibri" w:cs="Calibri"/>
            <w:color w:val="auto"/>
            <w:sz w:val="20"/>
          </w:rPr>
          <w:t>Odvodnění a chráničky pro inženýrské sítě</w:t>
        </w:r>
      </w:hyperlink>
    </w:p>
    <w:p w14:paraId="2B8AD5D2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t xml:space="preserve">4 - </w:t>
      </w:r>
      <w:hyperlink r:id="rId11">
        <w:r w:rsidRPr="00CA2B21">
          <w:rPr>
            <w:rStyle w:val="Internetovodkaz"/>
            <w:rFonts w:ascii="Calibri" w:hAnsi="Calibri" w:cs="Calibri"/>
            <w:color w:val="auto"/>
            <w:sz w:val="20"/>
          </w:rPr>
          <w:t>Zemní práce</w:t>
        </w:r>
      </w:hyperlink>
    </w:p>
    <w:p w14:paraId="2B8AD5D3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t xml:space="preserve">10 - </w:t>
      </w:r>
      <w:hyperlink r:id="rId12">
        <w:r w:rsidRPr="00CA2B21">
          <w:rPr>
            <w:rStyle w:val="Internetovodkaz"/>
            <w:rFonts w:ascii="Calibri" w:hAnsi="Calibri" w:cs="Calibri"/>
            <w:color w:val="auto"/>
            <w:sz w:val="20"/>
          </w:rPr>
          <w:t>Obrubníky, krajníky, chodníky a dopravní plochy</w:t>
        </w:r>
      </w:hyperlink>
    </w:p>
    <w:p w14:paraId="2B8AD5D4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</w:pPr>
      <w:r w:rsidRPr="00CA2B21">
        <w:rPr>
          <w:rFonts w:ascii="Calibri" w:hAnsi="Calibri" w:cs="Calibri"/>
          <w:sz w:val="20"/>
        </w:rPr>
        <w:t xml:space="preserve">13 - </w:t>
      </w:r>
      <w:hyperlink r:id="rId13">
        <w:r w:rsidRPr="00CA2B21">
          <w:rPr>
            <w:rStyle w:val="Internetovodkaz"/>
            <w:rFonts w:ascii="Calibri" w:hAnsi="Calibri" w:cs="Calibri"/>
            <w:color w:val="auto"/>
            <w:sz w:val="20"/>
          </w:rPr>
          <w:t>Vegetační úpravy</w:t>
        </w:r>
      </w:hyperlink>
    </w:p>
    <w:p w14:paraId="2B8AD5D5" w14:textId="77777777" w:rsidR="00DC09A0" w:rsidRPr="00CA2B21" w:rsidRDefault="0086364D">
      <w:pPr>
        <w:widowControl w:val="0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18 - Beton pro konstrukce (vč. 10 příloh)</w:t>
      </w:r>
    </w:p>
    <w:p w14:paraId="2B8AD5D6" w14:textId="77777777" w:rsidR="00DC09A0" w:rsidRPr="00CA2B21" w:rsidRDefault="00DC09A0">
      <w:pPr>
        <w:widowControl w:val="0"/>
        <w:ind w:firstLine="0"/>
        <w:jc w:val="both"/>
        <w:rPr>
          <w:rFonts w:ascii="Calibri" w:hAnsi="Calibri" w:cs="Calibri"/>
        </w:rPr>
      </w:pPr>
    </w:p>
    <w:p w14:paraId="2B8AD5D7" w14:textId="77777777" w:rsidR="00DC09A0" w:rsidRPr="00CA2B21" w:rsidRDefault="0086364D">
      <w:pPr>
        <w:pStyle w:val="Nadpis1"/>
        <w:keepNext w:val="0"/>
        <w:widowControl w:val="0"/>
        <w:numPr>
          <w:ilvl w:val="0"/>
          <w:numId w:val="0"/>
        </w:numPr>
        <w:ind w:firstLine="567"/>
        <w:rPr>
          <w:rFonts w:ascii="Calibri" w:hAnsi="Calibri" w:cs="Calibri"/>
          <w:sz w:val="20"/>
        </w:rPr>
      </w:pPr>
      <w:bookmarkStart w:id="33" w:name="_Toc523989829"/>
      <w:bookmarkStart w:id="34" w:name="_Toc482517806"/>
      <w:bookmarkStart w:id="35" w:name="_Toc446055940"/>
      <w:bookmarkStart w:id="36" w:name="_Toc429297652"/>
      <w:bookmarkStart w:id="37" w:name="_Toc409009351"/>
      <w:bookmarkStart w:id="38" w:name="_Toc399273317"/>
      <w:bookmarkStart w:id="39" w:name="_Toc272221556"/>
      <w:bookmarkStart w:id="40" w:name="_Toc272314602"/>
      <w:bookmarkStart w:id="41" w:name="_Toc272314678"/>
      <w:bookmarkStart w:id="42" w:name="_Toc272314778"/>
      <w:bookmarkStart w:id="43" w:name="_Toc272335107"/>
      <w:bookmarkStart w:id="44" w:name="_Toc313259737"/>
      <w:bookmarkStart w:id="45" w:name="_Toc313541693"/>
      <w:bookmarkStart w:id="46" w:name="_Toc313884709"/>
      <w:bookmarkStart w:id="47" w:name="_Toc313890284"/>
      <w:bookmarkStart w:id="48" w:name="_Toc313890450"/>
      <w:bookmarkStart w:id="49" w:name="_Toc313890510"/>
      <w:bookmarkStart w:id="50" w:name="_Toc313948325"/>
      <w:bookmarkStart w:id="51" w:name="_Toc319485554"/>
      <w:bookmarkStart w:id="52" w:name="_Toc345316658"/>
      <w:bookmarkStart w:id="53" w:name="_Toc350258467"/>
      <w:bookmarkStart w:id="54" w:name="_Toc354214407"/>
      <w:bookmarkStart w:id="55" w:name="_Toc364689578"/>
      <w:bookmarkStart w:id="56" w:name="_Toc372019956"/>
      <w:bookmarkStart w:id="57" w:name="_Toc380392842"/>
      <w:r w:rsidRPr="00CA2B21">
        <w:rPr>
          <w:rFonts w:ascii="Calibri" w:hAnsi="Calibri" w:cs="Calibri"/>
          <w:b w:val="0"/>
          <w:bCs w:val="0"/>
          <w:sz w:val="20"/>
        </w:rPr>
        <w:t>Dále musí být dodrženy podmínky stanovené v Technických podmínkách (TP) a ve Vzorových listech (VL), zejména: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B8AD5D8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TP 170 -</w:t>
      </w:r>
      <w:r w:rsidRPr="00CA2B21">
        <w:rPr>
          <w:rFonts w:ascii="Calibri" w:hAnsi="Calibri" w:cs="Calibri"/>
          <w:sz w:val="20"/>
        </w:rPr>
        <w:tab/>
        <w:t>Navrhování vozovek pozemních komunikací</w:t>
      </w:r>
    </w:p>
    <w:p w14:paraId="2B8AD5D9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TP 83 </w:t>
      </w:r>
      <w:proofErr w:type="gramStart"/>
      <w:r w:rsidRPr="00CA2B21">
        <w:rPr>
          <w:rFonts w:ascii="Calibri" w:hAnsi="Calibri" w:cs="Calibri"/>
          <w:sz w:val="20"/>
        </w:rPr>
        <w:t>-  Odvodnění</w:t>
      </w:r>
      <w:proofErr w:type="gramEnd"/>
      <w:r w:rsidRPr="00CA2B21">
        <w:rPr>
          <w:rFonts w:ascii="Calibri" w:hAnsi="Calibri" w:cs="Calibri"/>
          <w:sz w:val="20"/>
        </w:rPr>
        <w:t xml:space="preserve"> pozemních komunikací</w:t>
      </w:r>
    </w:p>
    <w:p w14:paraId="2B8AD5DA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VL 2.2 – Odvodnění</w:t>
      </w:r>
    </w:p>
    <w:p w14:paraId="2B8AD5DB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VL 2 – Silniční těleso</w:t>
      </w:r>
    </w:p>
    <w:p w14:paraId="2B8AD5DC" w14:textId="77777777" w:rsidR="00DC09A0" w:rsidRPr="00CA2B21" w:rsidRDefault="00DC09A0">
      <w:pPr>
        <w:pStyle w:val="Zhlav"/>
        <w:tabs>
          <w:tab w:val="left" w:pos="708"/>
        </w:tabs>
        <w:jc w:val="both"/>
        <w:rPr>
          <w:rFonts w:ascii="Calibri" w:hAnsi="Calibri" w:cs="Calibri"/>
        </w:rPr>
      </w:pPr>
    </w:p>
    <w:p w14:paraId="2B8AD5DD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  <w:u w:val="single"/>
        </w:rPr>
      </w:pPr>
      <w:r w:rsidRPr="00CA2B21">
        <w:rPr>
          <w:rFonts w:ascii="Calibri" w:hAnsi="Calibri" w:cs="Calibri"/>
          <w:sz w:val="20"/>
          <w:u w:val="single"/>
        </w:rPr>
        <w:t>Zemní těleso, aktivní zóna, zemní pláň:</w:t>
      </w:r>
    </w:p>
    <w:p w14:paraId="2B8AD5DE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Pro zemní práce platí ustanovení ZTKP, TKP (zejména kap. 4), ČSN (zejména ČSN 73 6133), příslušné TP (zejména TP 76, TP 94, TP 97), vzorové listy pozemních komunikací a předpisy uvedené v ZTKP a TKP. </w:t>
      </w:r>
    </w:p>
    <w:p w14:paraId="2B8AD5DF" w14:textId="77777777" w:rsidR="00DC09A0" w:rsidRPr="00CA2B21" w:rsidRDefault="00DC09A0">
      <w:pPr>
        <w:widowControl w:val="0"/>
        <w:ind w:firstLine="0"/>
        <w:jc w:val="both"/>
        <w:rPr>
          <w:rFonts w:ascii="Calibri" w:hAnsi="Calibri" w:cs="Calibri"/>
          <w:u w:val="single"/>
        </w:rPr>
      </w:pPr>
    </w:p>
    <w:p w14:paraId="2B8AD5E0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  <w:u w:val="single"/>
        </w:rPr>
      </w:pPr>
      <w:r w:rsidRPr="00CA2B21">
        <w:rPr>
          <w:rFonts w:ascii="Calibri" w:hAnsi="Calibri" w:cs="Calibri"/>
          <w:sz w:val="20"/>
          <w:u w:val="single"/>
        </w:rPr>
        <w:t>Další požadavky:</w:t>
      </w:r>
    </w:p>
    <w:p w14:paraId="2B8AD5E1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Stavba </w:t>
      </w:r>
      <w:proofErr w:type="gramStart"/>
      <w:r w:rsidRPr="00CA2B21">
        <w:rPr>
          <w:rFonts w:ascii="Calibri" w:hAnsi="Calibri" w:cs="Calibri"/>
          <w:sz w:val="20"/>
        </w:rPr>
        <w:t>vozovek - Nestmelené</w:t>
      </w:r>
      <w:proofErr w:type="gramEnd"/>
      <w:r w:rsidRPr="00CA2B21">
        <w:rPr>
          <w:rFonts w:ascii="Calibri" w:hAnsi="Calibri" w:cs="Calibri"/>
          <w:sz w:val="20"/>
        </w:rPr>
        <w:t xml:space="preserve"> vrstvy</w:t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  <w:t>ČSN 73 6126</w:t>
      </w:r>
    </w:p>
    <w:p w14:paraId="2B8AD5E2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Návrh a provádění zemního tělesa pozemních komunikací</w:t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  <w:t>ČSN 73 6133</w:t>
      </w:r>
    </w:p>
    <w:p w14:paraId="2B8AD5E3" w14:textId="77777777" w:rsidR="00DC09A0" w:rsidRPr="00CA2B21" w:rsidRDefault="0086364D">
      <w:pPr>
        <w:widowControl w:val="0"/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Stavba vozovek – Kryty z dlažeb a dílců</w:t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</w:r>
      <w:r w:rsidRPr="00CA2B21">
        <w:rPr>
          <w:rFonts w:ascii="Calibri" w:hAnsi="Calibri" w:cs="Calibri"/>
          <w:sz w:val="20"/>
        </w:rPr>
        <w:tab/>
        <w:t>ČSN 73 6131</w:t>
      </w:r>
    </w:p>
    <w:p w14:paraId="2B8AD5E4" w14:textId="77777777" w:rsidR="00DC09A0" w:rsidRPr="001511FA" w:rsidRDefault="00DC09A0">
      <w:pPr>
        <w:jc w:val="both"/>
        <w:rPr>
          <w:b/>
          <w:sz w:val="24"/>
          <w:highlight w:val="yellow"/>
        </w:rPr>
      </w:pPr>
    </w:p>
    <w:p w14:paraId="2B8AD5E5" w14:textId="77777777" w:rsidR="00DC09A0" w:rsidRPr="00CA2B21" w:rsidRDefault="0086364D">
      <w:pPr>
        <w:pStyle w:val="Nadpis1"/>
        <w:numPr>
          <w:ilvl w:val="0"/>
          <w:numId w:val="3"/>
        </w:numPr>
      </w:pPr>
      <w:bookmarkStart w:id="58" w:name="_Toc523989830"/>
      <w:bookmarkStart w:id="59" w:name="_Toc313890451"/>
      <w:bookmarkStart w:id="60" w:name="_Toc380392843"/>
      <w:r w:rsidRPr="00CA2B21">
        <w:t>Odpady vzniklé při realizaci stavby</w:t>
      </w:r>
      <w:bookmarkEnd w:id="58"/>
      <w:bookmarkEnd w:id="59"/>
      <w:bookmarkEnd w:id="60"/>
      <w:r w:rsidRPr="00CA2B21">
        <w:t xml:space="preserve"> </w:t>
      </w:r>
    </w:p>
    <w:p w14:paraId="2B8AD5E6" w14:textId="77777777" w:rsidR="00DC09A0" w:rsidRPr="00CA2B21" w:rsidRDefault="00DC09A0">
      <w:pPr>
        <w:ind w:firstLine="0"/>
        <w:jc w:val="both"/>
        <w:rPr>
          <w:rFonts w:ascii="Calibri" w:hAnsi="Calibri" w:cs="Calibri"/>
          <w:sz w:val="20"/>
        </w:rPr>
      </w:pPr>
    </w:p>
    <w:p w14:paraId="2B8AD5E7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V souvislosti se vzrůstajícím významem ochrany životního prostředí je nutné se vzniklým odpadem nakládat dle níže uvedeného textu:</w:t>
      </w:r>
    </w:p>
    <w:p w14:paraId="2B8AD5E8" w14:textId="77777777" w:rsidR="00DC09A0" w:rsidRPr="00CA2B21" w:rsidRDefault="00DC09A0">
      <w:pPr>
        <w:ind w:firstLine="0"/>
        <w:jc w:val="both"/>
        <w:rPr>
          <w:rFonts w:ascii="Calibri" w:hAnsi="Calibri" w:cs="Calibri"/>
          <w:sz w:val="20"/>
        </w:rPr>
      </w:pPr>
    </w:p>
    <w:p w14:paraId="2B8AD5E9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Nakládání s odpady musí odpovídat následujícím předpisům:</w:t>
      </w:r>
    </w:p>
    <w:p w14:paraId="2B8AD5EA" w14:textId="44E48742" w:rsidR="00DC09A0" w:rsidRPr="00CA2B21" w:rsidRDefault="0086364D">
      <w:pPr>
        <w:numPr>
          <w:ilvl w:val="0"/>
          <w:numId w:val="5"/>
        </w:num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zákon č.</w:t>
      </w:r>
      <w:r w:rsidR="00890FA5">
        <w:rPr>
          <w:rFonts w:ascii="Calibri" w:hAnsi="Calibri" w:cs="Calibri"/>
          <w:sz w:val="20"/>
        </w:rPr>
        <w:t>541</w:t>
      </w:r>
      <w:r w:rsidRPr="00CA2B21">
        <w:rPr>
          <w:rFonts w:ascii="Calibri" w:hAnsi="Calibri" w:cs="Calibri"/>
          <w:sz w:val="20"/>
        </w:rPr>
        <w:t>/20</w:t>
      </w:r>
      <w:r w:rsidR="00890FA5">
        <w:rPr>
          <w:rFonts w:ascii="Calibri" w:hAnsi="Calibri" w:cs="Calibri"/>
          <w:sz w:val="20"/>
        </w:rPr>
        <w:t xml:space="preserve">20 </w:t>
      </w:r>
      <w:r w:rsidRPr="00CA2B21">
        <w:rPr>
          <w:rFonts w:ascii="Calibri" w:hAnsi="Calibri" w:cs="Calibri"/>
          <w:sz w:val="20"/>
        </w:rPr>
        <w:t>Sb., Zákon o odpadech</w:t>
      </w:r>
    </w:p>
    <w:p w14:paraId="2B8AD5EB" w14:textId="62AAA22E" w:rsidR="00DC09A0" w:rsidRPr="00CA2B21" w:rsidRDefault="0086364D">
      <w:pPr>
        <w:numPr>
          <w:ilvl w:val="0"/>
          <w:numId w:val="5"/>
        </w:num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 xml:space="preserve">vyhláška </w:t>
      </w:r>
      <w:r w:rsidR="00890FA5">
        <w:rPr>
          <w:rFonts w:ascii="Calibri" w:hAnsi="Calibri" w:cs="Calibri"/>
          <w:sz w:val="20"/>
        </w:rPr>
        <w:t>8</w:t>
      </w:r>
      <w:r w:rsidRPr="00CA2B21">
        <w:rPr>
          <w:rFonts w:ascii="Calibri" w:hAnsi="Calibri" w:cs="Calibri"/>
          <w:sz w:val="20"/>
        </w:rPr>
        <w:t>/20</w:t>
      </w:r>
      <w:r w:rsidR="00890FA5">
        <w:rPr>
          <w:rFonts w:ascii="Calibri" w:hAnsi="Calibri" w:cs="Calibri"/>
          <w:sz w:val="20"/>
        </w:rPr>
        <w:t>2</w:t>
      </w:r>
      <w:r w:rsidRPr="00CA2B21">
        <w:rPr>
          <w:rFonts w:ascii="Calibri" w:hAnsi="Calibri" w:cs="Calibri"/>
          <w:sz w:val="20"/>
        </w:rPr>
        <w:t xml:space="preserve">1 Sb., </w:t>
      </w:r>
      <w:r w:rsidR="00890FA5" w:rsidRPr="00890FA5">
        <w:rPr>
          <w:rFonts w:ascii="Calibri" w:hAnsi="Calibri" w:cs="Calibri"/>
          <w:sz w:val="20"/>
        </w:rPr>
        <w:t>o Katalogu odpadů a posuzování vlastností odpadů (Katalog odpadů</w:t>
      </w:r>
      <w:r w:rsidR="00890FA5">
        <w:rPr>
          <w:rFonts w:ascii="Calibri" w:hAnsi="Calibri" w:cs="Calibri"/>
          <w:sz w:val="20"/>
        </w:rPr>
        <w:t>)</w:t>
      </w:r>
    </w:p>
    <w:p w14:paraId="2B8AD5ED" w14:textId="77777777" w:rsidR="00DC09A0" w:rsidRPr="00CA2B21" w:rsidRDefault="00DC09A0">
      <w:pPr>
        <w:ind w:firstLine="0"/>
        <w:jc w:val="both"/>
        <w:rPr>
          <w:rFonts w:ascii="Calibri" w:hAnsi="Calibri" w:cs="Calibri"/>
          <w:sz w:val="20"/>
        </w:rPr>
      </w:pPr>
    </w:p>
    <w:p w14:paraId="2B8AD5EE" w14:textId="77777777" w:rsidR="00DC09A0" w:rsidRPr="00CA2B21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Při stavebních pracích se mohou vyskytnout ještě další zde neuvedené odpady, které souvisí s technologií zhotovení stavby vybraným zhotovitelem prací. Ve smlouvě investora a zhotovitele na dodávku stavebních prací musí být zakotvena povinnost zhotovitele likvidovat odpady, vznikající jeho činností.</w:t>
      </w:r>
    </w:p>
    <w:p w14:paraId="2B8AD5EF" w14:textId="77777777" w:rsidR="00DC09A0" w:rsidRDefault="0086364D">
      <w:pPr>
        <w:ind w:firstLine="0"/>
        <w:jc w:val="both"/>
        <w:rPr>
          <w:rFonts w:ascii="Calibri" w:hAnsi="Calibri" w:cs="Calibri"/>
          <w:sz w:val="20"/>
        </w:rPr>
      </w:pPr>
      <w:r w:rsidRPr="00CA2B21">
        <w:rPr>
          <w:rFonts w:ascii="Calibri" w:hAnsi="Calibri" w:cs="Calibri"/>
          <w:sz w:val="20"/>
        </w:rPr>
        <w:t>Zhotovitel díla musí během stavebních prací zajistit kontrolu práce a údržby stavebních mechanismů s tím, že pokud dojde k úniku ropných látek do zeminy, je nutné kontaminovanou zeminu ihned vytěžit a uložit do nepropustné nádoby příp. kontejneru, vyvést na příslušnou skládku nebo do spalovny. O vzniklých odpadech musí zhotovitel stavby vést evidenci, aby bylo možno při kolaudaci provést vyhodnocení.</w:t>
      </w:r>
    </w:p>
    <w:p w14:paraId="09F25A29" w14:textId="77777777" w:rsidR="0000154B" w:rsidRDefault="0000154B">
      <w:pPr>
        <w:ind w:firstLine="0"/>
        <w:jc w:val="both"/>
        <w:rPr>
          <w:rFonts w:ascii="Calibri" w:hAnsi="Calibri" w:cs="Calibri"/>
          <w:sz w:val="20"/>
        </w:rPr>
      </w:pPr>
    </w:p>
    <w:p w14:paraId="6FEF15AC" w14:textId="17FE7FAA" w:rsidR="0000154B" w:rsidRPr="00CA2B21" w:rsidRDefault="0000154B" w:rsidP="0000154B">
      <w:pPr>
        <w:pStyle w:val="Nadpis1"/>
        <w:numPr>
          <w:ilvl w:val="0"/>
          <w:numId w:val="3"/>
        </w:numPr>
      </w:pPr>
      <w:r>
        <w:t>POV a DIO</w:t>
      </w:r>
    </w:p>
    <w:p w14:paraId="1C908946" w14:textId="77777777" w:rsidR="0000154B" w:rsidRDefault="0000154B">
      <w:pPr>
        <w:ind w:firstLine="0"/>
        <w:jc w:val="both"/>
        <w:rPr>
          <w:rFonts w:ascii="Calibri" w:hAnsi="Calibri" w:cs="Calibri"/>
          <w:sz w:val="20"/>
        </w:rPr>
      </w:pPr>
    </w:p>
    <w:p w14:paraId="221989BA" w14:textId="0330AB59" w:rsidR="0000154B" w:rsidRDefault="0000154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Součástí přílohy technické zprávy je vzorové DIO a POV pro výstavbu.</w:t>
      </w:r>
    </w:p>
    <w:p w14:paraId="540DAEA6" w14:textId="21767478" w:rsidR="0000154B" w:rsidRDefault="0000154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 ohledem na rekonstrukci stávající komunikaci v celé šíři, není umožněno provedení rekonstrukce komunikace na ½ a není tak možné zajistit příjezd ke stávajícím objektům.</w:t>
      </w:r>
    </w:p>
    <w:p w14:paraId="4B552E5F" w14:textId="4E6253F4" w:rsidR="0000154B" w:rsidRDefault="0000154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 ohledem na rozsah úprav budou provedeny jednotlivé etapy rekonstrukce </w:t>
      </w:r>
      <w:proofErr w:type="spellStart"/>
      <w:r>
        <w:rPr>
          <w:rFonts w:ascii="Calibri" w:hAnsi="Calibri" w:cs="Calibri"/>
          <w:sz w:val="20"/>
        </w:rPr>
        <w:t>mezikřižovatkových</w:t>
      </w:r>
      <w:proofErr w:type="spellEnd"/>
      <w:r>
        <w:rPr>
          <w:rFonts w:ascii="Calibri" w:hAnsi="Calibri" w:cs="Calibri"/>
          <w:sz w:val="20"/>
        </w:rPr>
        <w:t xml:space="preserve"> úseků, maximální délka uzávěrky je uvažována v rozsahu cca 100 m – jedná se například o delší </w:t>
      </w:r>
      <w:proofErr w:type="spellStart"/>
      <w:r>
        <w:rPr>
          <w:rFonts w:ascii="Calibri" w:hAnsi="Calibri" w:cs="Calibri"/>
          <w:sz w:val="20"/>
        </w:rPr>
        <w:t>mezikřižovatkový</w:t>
      </w:r>
      <w:proofErr w:type="spellEnd"/>
      <w:r>
        <w:rPr>
          <w:rFonts w:ascii="Calibri" w:hAnsi="Calibri" w:cs="Calibri"/>
          <w:sz w:val="20"/>
        </w:rPr>
        <w:t xml:space="preserve"> úsek.</w:t>
      </w:r>
    </w:p>
    <w:p w14:paraId="638AB35C" w14:textId="37473102" w:rsidR="0000154B" w:rsidRDefault="0000154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Přesné provedení etap bude dořešeno s ohledem na aktuální </w:t>
      </w:r>
      <w:proofErr w:type="gramStart"/>
      <w:r>
        <w:rPr>
          <w:rFonts w:ascii="Calibri" w:hAnsi="Calibri" w:cs="Calibri"/>
          <w:sz w:val="20"/>
        </w:rPr>
        <w:t>podmínky</w:t>
      </w:r>
      <w:proofErr w:type="gramEnd"/>
      <w:r>
        <w:rPr>
          <w:rFonts w:ascii="Calibri" w:hAnsi="Calibri" w:cs="Calibri"/>
          <w:sz w:val="20"/>
        </w:rPr>
        <w:t xml:space="preserve"> a především dostupné techniky zhotovitele pro zajištění stavebních prací v rozsahu 2-3 týdny na jeden úsek.</w:t>
      </w:r>
    </w:p>
    <w:p w14:paraId="68B3C6EE" w14:textId="03561649" w:rsidR="0000154B" w:rsidRDefault="0000154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Začátek a konec úseku bude opatřen závorou Z2. Příjezd staveništní dopravy bude proveden </w:t>
      </w:r>
      <w:r w:rsidR="0078445B">
        <w:rPr>
          <w:rFonts w:ascii="Calibri" w:hAnsi="Calibri" w:cs="Calibri"/>
          <w:sz w:val="20"/>
        </w:rPr>
        <w:t>ze stávajících uličních profilů, začátek a konec staveniště pak bude opatřen SDZ zákazem vjezdu mimo staveništní dopravu.</w:t>
      </w:r>
    </w:p>
    <w:p w14:paraId="0ABC91BA" w14:textId="188AC1DC" w:rsidR="0078445B" w:rsidRDefault="0078445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 případě provádění pouze části </w:t>
      </w:r>
      <w:proofErr w:type="spellStart"/>
      <w:r>
        <w:rPr>
          <w:rFonts w:ascii="Calibri" w:hAnsi="Calibri" w:cs="Calibri"/>
          <w:sz w:val="20"/>
        </w:rPr>
        <w:t>mezikřižovatkového</w:t>
      </w:r>
      <w:proofErr w:type="spellEnd"/>
      <w:r>
        <w:rPr>
          <w:rFonts w:ascii="Calibri" w:hAnsi="Calibri" w:cs="Calibri"/>
          <w:sz w:val="20"/>
        </w:rPr>
        <w:t xml:space="preserve"> úseku dojde k osazení SDZ slepá ulice s dodatkovou tabulí vzdálenosti. Přilehlé komunikace a hlavní příjezdové komunikace pro staveništní dopravu budou osazeny SDZ zákazem zastavení, průjezdný profil pro stavbu musí být v uličním profilu min. </w:t>
      </w:r>
      <w:proofErr w:type="gramStart"/>
      <w:r>
        <w:rPr>
          <w:rFonts w:ascii="Calibri" w:hAnsi="Calibri" w:cs="Calibri"/>
          <w:sz w:val="20"/>
        </w:rPr>
        <w:t>4m</w:t>
      </w:r>
      <w:proofErr w:type="gramEnd"/>
      <w:r>
        <w:rPr>
          <w:rFonts w:ascii="Calibri" w:hAnsi="Calibri" w:cs="Calibri"/>
          <w:sz w:val="20"/>
        </w:rPr>
        <w:t>.</w:t>
      </w:r>
    </w:p>
    <w:p w14:paraId="75AF0C4B" w14:textId="77777777" w:rsidR="0078445B" w:rsidRDefault="0078445B" w:rsidP="0000154B">
      <w:pPr>
        <w:ind w:firstLine="0"/>
        <w:jc w:val="both"/>
        <w:rPr>
          <w:rFonts w:ascii="Calibri" w:hAnsi="Calibri" w:cs="Calibri"/>
          <w:sz w:val="20"/>
        </w:rPr>
      </w:pPr>
    </w:p>
    <w:p w14:paraId="21EAA6AA" w14:textId="5007A66E" w:rsidR="0078445B" w:rsidRPr="00CA2B21" w:rsidRDefault="0078445B" w:rsidP="0000154B">
      <w:pPr>
        <w:ind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DIO bude muset být projednáno s dostatečným předstihem.</w:t>
      </w:r>
    </w:p>
    <w:p w14:paraId="2B8AD5F0" w14:textId="77777777" w:rsidR="00DC09A0" w:rsidRDefault="00DC09A0">
      <w:pPr>
        <w:ind w:firstLine="0"/>
      </w:pPr>
    </w:p>
    <w:p w14:paraId="2B8AD5F1" w14:textId="77777777" w:rsidR="00DC09A0" w:rsidRDefault="00DC09A0">
      <w:pPr>
        <w:tabs>
          <w:tab w:val="left" w:pos="2268"/>
        </w:tabs>
      </w:pPr>
    </w:p>
    <w:sectPr w:rsidR="00DC09A0">
      <w:footerReference w:type="default" r:id="rId14"/>
      <w:pgSz w:w="11906" w:h="16838"/>
      <w:pgMar w:top="1418" w:right="1134" w:bottom="1276" w:left="1134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DC37" w14:textId="77777777" w:rsidR="003E5B73" w:rsidRDefault="003E5B73">
      <w:r>
        <w:separator/>
      </w:r>
    </w:p>
  </w:endnote>
  <w:endnote w:type="continuationSeparator" w:id="0">
    <w:p w14:paraId="534A6D6F" w14:textId="77777777" w:rsidR="003E5B73" w:rsidRDefault="003E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D5F2" w14:textId="77777777" w:rsidR="00DC09A0" w:rsidRDefault="0086364D">
    <w:pPr>
      <w:pStyle w:val="Zpat"/>
      <w:pBdr>
        <w:top w:val="single" w:sz="4" w:space="1" w:color="000000"/>
      </w:pBdr>
      <w:jc w:val="center"/>
    </w:pPr>
    <w:r>
      <w:rPr>
        <w:rFonts w:cs="Arial"/>
        <w:szCs w:val="20"/>
      </w:rPr>
      <w:t xml:space="preserve">Strana </w:t>
    </w:r>
    <w:r>
      <w:rPr>
        <w:rFonts w:cs="Arial"/>
        <w:szCs w:val="20"/>
      </w:rPr>
      <w:fldChar w:fldCharType="begin"/>
    </w:r>
    <w:r>
      <w:rPr>
        <w:rFonts w:cs="Arial"/>
        <w:szCs w:val="20"/>
      </w:rPr>
      <w:instrText>PAGE</w:instrText>
    </w:r>
    <w:r>
      <w:rPr>
        <w:rFonts w:cs="Arial"/>
        <w:szCs w:val="20"/>
      </w:rPr>
      <w:fldChar w:fldCharType="separate"/>
    </w:r>
    <w:r>
      <w:rPr>
        <w:rFonts w:cs="Arial"/>
        <w:szCs w:val="20"/>
      </w:rPr>
      <w:t>4</w:t>
    </w:r>
    <w:r>
      <w:rPr>
        <w:rFonts w:cs="Arial"/>
        <w:szCs w:val="20"/>
      </w:rPr>
      <w:fldChar w:fldCharType="end"/>
    </w:r>
    <w:r>
      <w:rPr>
        <w:rFonts w:cs="Arial"/>
        <w:szCs w:val="20"/>
      </w:rPr>
      <w:t xml:space="preserve"> (celkem </w:t>
    </w:r>
    <w:r>
      <w:rPr>
        <w:rFonts w:cs="Arial"/>
        <w:szCs w:val="20"/>
      </w:rPr>
      <w:fldChar w:fldCharType="begin"/>
    </w:r>
    <w:r>
      <w:rPr>
        <w:rFonts w:cs="Arial"/>
        <w:szCs w:val="20"/>
      </w:rPr>
      <w:instrText>NUMPAGES</w:instrText>
    </w:r>
    <w:r>
      <w:rPr>
        <w:rFonts w:cs="Arial"/>
        <w:szCs w:val="20"/>
      </w:rPr>
      <w:fldChar w:fldCharType="separate"/>
    </w:r>
    <w:r>
      <w:rPr>
        <w:rFonts w:cs="Arial"/>
        <w:szCs w:val="20"/>
      </w:rPr>
      <w:t>4</w:t>
    </w:r>
    <w:r>
      <w:rPr>
        <w:rFonts w:cs="Arial"/>
        <w:szCs w:val="20"/>
      </w:rPr>
      <w:fldChar w:fldCharType="end"/>
    </w:r>
    <w:r>
      <w:rPr>
        <w:rFonts w:cs="Arial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078D" w14:textId="77777777" w:rsidR="003E5B73" w:rsidRDefault="003E5B73">
      <w:r>
        <w:separator/>
      </w:r>
    </w:p>
  </w:footnote>
  <w:footnote w:type="continuationSeparator" w:id="0">
    <w:p w14:paraId="322ACB73" w14:textId="77777777" w:rsidR="003E5B73" w:rsidRDefault="003E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72A"/>
    <w:multiLevelType w:val="multilevel"/>
    <w:tmpl w:val="218EC0C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dpis5"/>
      <w:lvlText w:val="%1.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333A8C"/>
    <w:multiLevelType w:val="multilevel"/>
    <w:tmpl w:val="8B387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21553"/>
    <w:multiLevelType w:val="hybridMultilevel"/>
    <w:tmpl w:val="A824018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A72BD2"/>
    <w:multiLevelType w:val="multilevel"/>
    <w:tmpl w:val="BDA4F5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9E0826"/>
    <w:multiLevelType w:val="multilevel"/>
    <w:tmpl w:val="A170BC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A81A65"/>
    <w:multiLevelType w:val="hybridMultilevel"/>
    <w:tmpl w:val="BA70D664"/>
    <w:lvl w:ilvl="0" w:tplc="36A6025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6BC6"/>
    <w:multiLevelType w:val="multilevel"/>
    <w:tmpl w:val="BF76C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169820">
    <w:abstractNumId w:val="0"/>
  </w:num>
  <w:num w:numId="2" w16cid:durableId="1821919559">
    <w:abstractNumId w:val="6"/>
  </w:num>
  <w:num w:numId="3" w16cid:durableId="1867324701">
    <w:abstractNumId w:val="1"/>
  </w:num>
  <w:num w:numId="4" w16cid:durableId="1137913831">
    <w:abstractNumId w:val="3"/>
  </w:num>
  <w:num w:numId="5" w16cid:durableId="407266407">
    <w:abstractNumId w:val="4"/>
  </w:num>
  <w:num w:numId="6" w16cid:durableId="1561550761">
    <w:abstractNumId w:val="0"/>
  </w:num>
  <w:num w:numId="7" w16cid:durableId="1295334872">
    <w:abstractNumId w:val="2"/>
  </w:num>
  <w:num w:numId="8" w16cid:durableId="1825850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0"/>
    <w:rsid w:val="0000154B"/>
    <w:rsid w:val="000069C1"/>
    <w:rsid w:val="000279A3"/>
    <w:rsid w:val="0005392D"/>
    <w:rsid w:val="00056045"/>
    <w:rsid w:val="00083FAB"/>
    <w:rsid w:val="00093492"/>
    <w:rsid w:val="00094A93"/>
    <w:rsid w:val="000961DD"/>
    <w:rsid w:val="00096C2B"/>
    <w:rsid w:val="000A56C3"/>
    <w:rsid w:val="000C183A"/>
    <w:rsid w:val="000C217C"/>
    <w:rsid w:val="000D4A05"/>
    <w:rsid w:val="000F250D"/>
    <w:rsid w:val="000F295E"/>
    <w:rsid w:val="00100D82"/>
    <w:rsid w:val="00104CEF"/>
    <w:rsid w:val="001141D3"/>
    <w:rsid w:val="00123FEA"/>
    <w:rsid w:val="00127E49"/>
    <w:rsid w:val="00141AEC"/>
    <w:rsid w:val="001511FA"/>
    <w:rsid w:val="00153913"/>
    <w:rsid w:val="00172149"/>
    <w:rsid w:val="00173653"/>
    <w:rsid w:val="00182509"/>
    <w:rsid w:val="001827CD"/>
    <w:rsid w:val="00185F15"/>
    <w:rsid w:val="00195365"/>
    <w:rsid w:val="001A3198"/>
    <w:rsid w:val="001C124A"/>
    <w:rsid w:val="001E174F"/>
    <w:rsid w:val="001E4718"/>
    <w:rsid w:val="002034C2"/>
    <w:rsid w:val="00230568"/>
    <w:rsid w:val="0026245B"/>
    <w:rsid w:val="002655B4"/>
    <w:rsid w:val="0027628F"/>
    <w:rsid w:val="002936D1"/>
    <w:rsid w:val="002B745A"/>
    <w:rsid w:val="002C3C94"/>
    <w:rsid w:val="002D1223"/>
    <w:rsid w:val="002D1740"/>
    <w:rsid w:val="002D7FF6"/>
    <w:rsid w:val="002E0760"/>
    <w:rsid w:val="002F5A3D"/>
    <w:rsid w:val="0033051B"/>
    <w:rsid w:val="0034571D"/>
    <w:rsid w:val="00353DF4"/>
    <w:rsid w:val="00363417"/>
    <w:rsid w:val="00366BF3"/>
    <w:rsid w:val="0037032E"/>
    <w:rsid w:val="003E5B73"/>
    <w:rsid w:val="00416CBE"/>
    <w:rsid w:val="004172A0"/>
    <w:rsid w:val="00424DBF"/>
    <w:rsid w:val="004459A6"/>
    <w:rsid w:val="00451FB7"/>
    <w:rsid w:val="00456B97"/>
    <w:rsid w:val="00460151"/>
    <w:rsid w:val="00475770"/>
    <w:rsid w:val="0049397C"/>
    <w:rsid w:val="004B3CB7"/>
    <w:rsid w:val="004B7D5F"/>
    <w:rsid w:val="004C6BAF"/>
    <w:rsid w:val="005070BA"/>
    <w:rsid w:val="00551493"/>
    <w:rsid w:val="00551589"/>
    <w:rsid w:val="00555BE4"/>
    <w:rsid w:val="00565B87"/>
    <w:rsid w:val="00567105"/>
    <w:rsid w:val="005708C4"/>
    <w:rsid w:val="00575E37"/>
    <w:rsid w:val="0059014E"/>
    <w:rsid w:val="00593D27"/>
    <w:rsid w:val="00595405"/>
    <w:rsid w:val="005A31C0"/>
    <w:rsid w:val="005B547B"/>
    <w:rsid w:val="005C3939"/>
    <w:rsid w:val="005D2810"/>
    <w:rsid w:val="00621CB9"/>
    <w:rsid w:val="00641575"/>
    <w:rsid w:val="0064335F"/>
    <w:rsid w:val="00655D17"/>
    <w:rsid w:val="00685D9F"/>
    <w:rsid w:val="006A05AE"/>
    <w:rsid w:val="006C0EF5"/>
    <w:rsid w:val="006C619A"/>
    <w:rsid w:val="006D1352"/>
    <w:rsid w:val="006D4536"/>
    <w:rsid w:val="006D625D"/>
    <w:rsid w:val="006F3D8F"/>
    <w:rsid w:val="0070719F"/>
    <w:rsid w:val="00735951"/>
    <w:rsid w:val="0073695A"/>
    <w:rsid w:val="007479BA"/>
    <w:rsid w:val="00773528"/>
    <w:rsid w:val="00783844"/>
    <w:rsid w:val="0078445B"/>
    <w:rsid w:val="00791B58"/>
    <w:rsid w:val="007F7590"/>
    <w:rsid w:val="008039BC"/>
    <w:rsid w:val="0081063A"/>
    <w:rsid w:val="008165EC"/>
    <w:rsid w:val="008241F0"/>
    <w:rsid w:val="00847A52"/>
    <w:rsid w:val="0086364D"/>
    <w:rsid w:val="00890FA5"/>
    <w:rsid w:val="008934D8"/>
    <w:rsid w:val="008B21EA"/>
    <w:rsid w:val="008D2968"/>
    <w:rsid w:val="00901453"/>
    <w:rsid w:val="00903554"/>
    <w:rsid w:val="00905D09"/>
    <w:rsid w:val="009079C6"/>
    <w:rsid w:val="00916428"/>
    <w:rsid w:val="00917347"/>
    <w:rsid w:val="00925360"/>
    <w:rsid w:val="00943898"/>
    <w:rsid w:val="00946C06"/>
    <w:rsid w:val="00947629"/>
    <w:rsid w:val="00947D26"/>
    <w:rsid w:val="00955047"/>
    <w:rsid w:val="00955CF3"/>
    <w:rsid w:val="00964221"/>
    <w:rsid w:val="00986963"/>
    <w:rsid w:val="009A4723"/>
    <w:rsid w:val="009B4ED8"/>
    <w:rsid w:val="009B50D9"/>
    <w:rsid w:val="009E41CC"/>
    <w:rsid w:val="009E595B"/>
    <w:rsid w:val="009F59DD"/>
    <w:rsid w:val="00A16D57"/>
    <w:rsid w:val="00A35ACB"/>
    <w:rsid w:val="00A40FB8"/>
    <w:rsid w:val="00A42117"/>
    <w:rsid w:val="00A839F7"/>
    <w:rsid w:val="00A969BB"/>
    <w:rsid w:val="00AC42D4"/>
    <w:rsid w:val="00AE489E"/>
    <w:rsid w:val="00AF01F9"/>
    <w:rsid w:val="00AF6A97"/>
    <w:rsid w:val="00B04E7B"/>
    <w:rsid w:val="00B25174"/>
    <w:rsid w:val="00B2679D"/>
    <w:rsid w:val="00B50FCF"/>
    <w:rsid w:val="00B522A4"/>
    <w:rsid w:val="00B862A6"/>
    <w:rsid w:val="00B9073D"/>
    <w:rsid w:val="00B96D7C"/>
    <w:rsid w:val="00BB0485"/>
    <w:rsid w:val="00BC7D7E"/>
    <w:rsid w:val="00BE76DA"/>
    <w:rsid w:val="00BF3D65"/>
    <w:rsid w:val="00C0151C"/>
    <w:rsid w:val="00C20229"/>
    <w:rsid w:val="00C24FFB"/>
    <w:rsid w:val="00C42566"/>
    <w:rsid w:val="00C46009"/>
    <w:rsid w:val="00C462F1"/>
    <w:rsid w:val="00C5276A"/>
    <w:rsid w:val="00C77ADC"/>
    <w:rsid w:val="00C96FDD"/>
    <w:rsid w:val="00CA2B21"/>
    <w:rsid w:val="00CB5893"/>
    <w:rsid w:val="00CC4057"/>
    <w:rsid w:val="00CD0F4D"/>
    <w:rsid w:val="00CF489E"/>
    <w:rsid w:val="00D02B84"/>
    <w:rsid w:val="00D47E31"/>
    <w:rsid w:val="00D51A50"/>
    <w:rsid w:val="00D75543"/>
    <w:rsid w:val="00DA5DFF"/>
    <w:rsid w:val="00DC09A0"/>
    <w:rsid w:val="00DD125D"/>
    <w:rsid w:val="00DD5760"/>
    <w:rsid w:val="00E12D82"/>
    <w:rsid w:val="00E24E1C"/>
    <w:rsid w:val="00E25DED"/>
    <w:rsid w:val="00E47745"/>
    <w:rsid w:val="00E511D2"/>
    <w:rsid w:val="00E776A6"/>
    <w:rsid w:val="00E77F25"/>
    <w:rsid w:val="00EA166E"/>
    <w:rsid w:val="00EA4343"/>
    <w:rsid w:val="00EB4898"/>
    <w:rsid w:val="00EC0F96"/>
    <w:rsid w:val="00EC4E7E"/>
    <w:rsid w:val="00ED0631"/>
    <w:rsid w:val="00EE3228"/>
    <w:rsid w:val="00EF54DD"/>
    <w:rsid w:val="00F030BF"/>
    <w:rsid w:val="00F060E5"/>
    <w:rsid w:val="00F248C7"/>
    <w:rsid w:val="00F4092C"/>
    <w:rsid w:val="00F472BA"/>
    <w:rsid w:val="00F60096"/>
    <w:rsid w:val="00F664AD"/>
    <w:rsid w:val="00F76721"/>
    <w:rsid w:val="00F779E8"/>
    <w:rsid w:val="00F918D1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558"/>
  <w15:docId w15:val="{8BDCB50C-DE46-4944-A7DE-60422964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713B"/>
    <w:pPr>
      <w:ind w:firstLine="567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adpis2"/>
    <w:qFormat/>
    <w:rsid w:val="00AC2B02"/>
    <w:pPr>
      <w:keepNext/>
      <w:numPr>
        <w:numId w:val="1"/>
      </w:numPr>
      <w:tabs>
        <w:tab w:val="left" w:pos="567"/>
      </w:tabs>
      <w:spacing w:before="60"/>
      <w:outlineLvl w:val="0"/>
    </w:pPr>
    <w:rPr>
      <w:rFonts w:cs="Arial"/>
      <w:b/>
      <w:bCs/>
      <w:kern w:val="2"/>
      <w:sz w:val="24"/>
      <w:szCs w:val="32"/>
      <w:u w:val="single"/>
    </w:rPr>
  </w:style>
  <w:style w:type="paragraph" w:styleId="Nadpis2">
    <w:name w:val="heading 2"/>
    <w:basedOn w:val="Normln"/>
    <w:next w:val="Normln"/>
    <w:qFormat/>
    <w:rsid w:val="00495144"/>
    <w:pPr>
      <w:keepNext/>
      <w:numPr>
        <w:ilvl w:val="1"/>
        <w:numId w:val="1"/>
      </w:numPr>
      <w:spacing w:before="60"/>
      <w:outlineLvl w:val="1"/>
    </w:pPr>
    <w:rPr>
      <w:rFonts w:cs="Arial"/>
      <w:b/>
      <w:bCs/>
      <w:iCs/>
      <w:szCs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495144"/>
    <w:pPr>
      <w:keepNext/>
      <w:numPr>
        <w:ilvl w:val="2"/>
        <w:numId w:val="1"/>
      </w:numPr>
      <w:tabs>
        <w:tab w:val="clear" w:pos="720"/>
        <w:tab w:val="left" w:pos="567"/>
      </w:tabs>
      <w:spacing w:before="60"/>
      <w:ind w:left="567" w:firstLine="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386BC4"/>
    <w:pPr>
      <w:keepNext/>
      <w:tabs>
        <w:tab w:val="left" w:pos="567"/>
      </w:tabs>
      <w:spacing w:before="60"/>
      <w:ind w:left="360" w:hanging="360"/>
      <w:outlineLvl w:val="3"/>
    </w:pPr>
    <w:rPr>
      <w:bCs/>
      <w:szCs w:val="28"/>
      <w:u w:val="single"/>
    </w:rPr>
  </w:style>
  <w:style w:type="paragraph" w:styleId="Nadpis5">
    <w:name w:val="heading 5"/>
    <w:basedOn w:val="Normln"/>
    <w:next w:val="Normln"/>
    <w:qFormat/>
    <w:rsid w:val="0028614E"/>
    <w:pPr>
      <w:numPr>
        <w:ilvl w:val="4"/>
        <w:numId w:val="1"/>
      </w:numPr>
      <w:tabs>
        <w:tab w:val="left" w:pos="567"/>
      </w:tabs>
      <w:spacing w:before="60"/>
      <w:ind w:left="567" w:firstLine="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28614E"/>
    <w:pPr>
      <w:numPr>
        <w:ilvl w:val="5"/>
        <w:numId w:val="1"/>
      </w:numPr>
      <w:tabs>
        <w:tab w:val="left" w:pos="567"/>
      </w:tabs>
      <w:spacing w:before="60"/>
      <w:ind w:left="1134" w:firstLine="0"/>
      <w:outlineLvl w:val="5"/>
    </w:pPr>
    <w:rPr>
      <w:bCs/>
      <w:sz w:val="20"/>
      <w:szCs w:val="22"/>
      <w:u w:val="single"/>
    </w:rPr>
  </w:style>
  <w:style w:type="paragraph" w:styleId="Nadpis7">
    <w:name w:val="heading 7"/>
    <w:basedOn w:val="Normln"/>
    <w:next w:val="Normln"/>
    <w:qFormat/>
    <w:rsid w:val="0028614E"/>
    <w:pPr>
      <w:numPr>
        <w:ilvl w:val="6"/>
        <w:numId w:val="1"/>
      </w:numPr>
      <w:tabs>
        <w:tab w:val="left" w:pos="567"/>
      </w:tabs>
      <w:spacing w:before="60"/>
      <w:ind w:left="1134" w:firstLine="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28614E"/>
    <w:pPr>
      <w:numPr>
        <w:ilvl w:val="7"/>
        <w:numId w:val="1"/>
      </w:numPr>
      <w:tabs>
        <w:tab w:val="left" w:pos="567"/>
      </w:tabs>
      <w:spacing w:before="60"/>
      <w:ind w:left="1134" w:firstLine="0"/>
      <w:outlineLvl w:val="7"/>
    </w:pPr>
    <w:rPr>
      <w:i/>
      <w:iCs/>
      <w:sz w:val="20"/>
    </w:rPr>
  </w:style>
  <w:style w:type="paragraph" w:styleId="Nadpis9">
    <w:name w:val="heading 9"/>
    <w:basedOn w:val="Normln"/>
    <w:next w:val="Normln"/>
    <w:qFormat/>
    <w:rsid w:val="0028614E"/>
    <w:pPr>
      <w:numPr>
        <w:ilvl w:val="8"/>
        <w:numId w:val="1"/>
      </w:numPr>
      <w:tabs>
        <w:tab w:val="left" w:pos="567"/>
      </w:tabs>
      <w:spacing w:before="60"/>
      <w:ind w:left="1701" w:firstLine="0"/>
      <w:outlineLvl w:val="8"/>
    </w:pPr>
    <w:rPr>
      <w:rFonts w:cs="Arial"/>
      <w:i/>
      <w:sz w:val="18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EB1134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qFormat/>
    <w:rsid w:val="00386BC4"/>
    <w:rPr>
      <w:rFonts w:ascii="Arial" w:hAnsi="Arial"/>
      <w:bCs/>
      <w:sz w:val="22"/>
      <w:szCs w:val="28"/>
      <w:u w:val="single"/>
    </w:rPr>
  </w:style>
  <w:style w:type="character" w:customStyle="1" w:styleId="Nadpis3Char">
    <w:name w:val="Nadpis 3 Char"/>
    <w:link w:val="Nadpis3"/>
    <w:qFormat/>
    <w:rsid w:val="00533F13"/>
    <w:rPr>
      <w:rFonts w:ascii="Arial" w:hAnsi="Arial" w:cs="Arial"/>
      <w:b/>
      <w:bCs/>
      <w:sz w:val="22"/>
      <w:szCs w:val="26"/>
    </w:rPr>
  </w:style>
  <w:style w:type="character" w:customStyle="1" w:styleId="Internetovodkaz">
    <w:name w:val="Internetový odkaz"/>
    <w:uiPriority w:val="99"/>
    <w:unhideWhenUsed/>
    <w:rsid w:val="001D0D57"/>
    <w:rPr>
      <w:color w:val="0000FF"/>
      <w:u w:val="single"/>
    </w:rPr>
  </w:style>
  <w:style w:type="character" w:customStyle="1" w:styleId="ZhlavChar">
    <w:name w:val="Záhlaví Char"/>
    <w:link w:val="Zhlav"/>
    <w:qFormat/>
    <w:rsid w:val="00D812DB"/>
    <w:rPr>
      <w:rFonts w:ascii="Arial" w:hAnsi="Arial"/>
      <w:szCs w:val="24"/>
    </w:rPr>
  </w:style>
  <w:style w:type="character" w:styleId="Odkaznakoment">
    <w:name w:val="annotation reference"/>
    <w:qFormat/>
    <w:rsid w:val="00785496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785496"/>
    <w:rPr>
      <w:rFonts w:ascii="Arial" w:hAnsi="Arial"/>
    </w:rPr>
  </w:style>
  <w:style w:type="character" w:customStyle="1" w:styleId="PedmtkomenteChar">
    <w:name w:val="Předmět komentáře Char"/>
    <w:link w:val="Pedmtkomente"/>
    <w:qFormat/>
    <w:rsid w:val="00785496"/>
    <w:rPr>
      <w:rFonts w:ascii="Arial" w:hAnsi="Arial"/>
      <w:b/>
      <w:bCs/>
    </w:rPr>
  </w:style>
  <w:style w:type="character" w:customStyle="1" w:styleId="PodnadpisChar">
    <w:name w:val="Podnadpis Char"/>
    <w:link w:val="Podnadpis"/>
    <w:qFormat/>
    <w:rsid w:val="00F26819"/>
    <w:rPr>
      <w:sz w:val="24"/>
    </w:rPr>
  </w:style>
  <w:style w:type="character" w:customStyle="1" w:styleId="NzevChar">
    <w:name w:val="Název Char"/>
    <w:link w:val="Nzev"/>
    <w:qFormat/>
    <w:rsid w:val="001A6A5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Char">
    <w:name w:val="Základní text Char"/>
    <w:link w:val="Zkladntext"/>
    <w:qFormat/>
    <w:rsid w:val="00DD792F"/>
    <w:rPr>
      <w:sz w:val="24"/>
    </w:rPr>
  </w:style>
  <w:style w:type="character" w:customStyle="1" w:styleId="ZkladntextodsazenChar">
    <w:name w:val="Základní text odsazený Char"/>
    <w:link w:val="Zkladntextodsazen"/>
    <w:qFormat/>
    <w:rsid w:val="00DD792F"/>
    <w:rPr>
      <w:rFonts w:ascii="Arial" w:hAnsi="Arial"/>
      <w:sz w:val="22"/>
      <w:szCs w:val="24"/>
    </w:rPr>
  </w:style>
  <w:style w:type="character" w:customStyle="1" w:styleId="HEL11Char">
    <w:name w:val="HEL1.1 Char"/>
    <w:link w:val="HEL11"/>
    <w:qFormat/>
    <w:locked/>
    <w:rsid w:val="00DD792F"/>
    <w:rPr>
      <w:rFonts w:ascii="Calibri" w:hAnsi="Calibri"/>
      <w:b/>
      <w:sz w:val="24"/>
      <w:szCs w:val="24"/>
    </w:rPr>
  </w:style>
  <w:style w:type="character" w:customStyle="1" w:styleId="HEL12Char">
    <w:name w:val="HEL1.2 Char"/>
    <w:link w:val="HEL12"/>
    <w:qFormat/>
    <w:locked/>
    <w:rsid w:val="00DD792F"/>
    <w:rPr>
      <w:rFonts w:ascii="Calibri" w:hAnsi="Calibri"/>
      <w:b/>
      <w:szCs w:val="22"/>
    </w:rPr>
  </w:style>
  <w:style w:type="character" w:customStyle="1" w:styleId="PMNormalIndentChar">
    <w:name w:val="PM_NormalIndent Char"/>
    <w:link w:val="PMNormalIndent"/>
    <w:qFormat/>
    <w:rsid w:val="001B4062"/>
    <w:rPr>
      <w:rFonts w:ascii="Arial" w:hAnsi="Arial"/>
      <w:szCs w:val="24"/>
      <w:lang w:val="fr-FR" w:eastAsia="en-GB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DD792F"/>
    <w:pPr>
      <w:spacing w:line="360" w:lineRule="auto"/>
      <w:ind w:firstLine="0"/>
      <w:jc w:val="both"/>
    </w:pPr>
    <w:rPr>
      <w:rFonts w:ascii="Times New Roman" w:hAnsi="Times New Roman"/>
      <w:sz w:val="24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95144"/>
    <w:pPr>
      <w:tabs>
        <w:tab w:val="center" w:pos="4536"/>
        <w:tab w:val="right" w:pos="9072"/>
      </w:tabs>
      <w:ind w:firstLine="0"/>
    </w:pPr>
    <w:rPr>
      <w:sz w:val="20"/>
    </w:rPr>
  </w:style>
  <w:style w:type="paragraph" w:styleId="Zpat">
    <w:name w:val="footer"/>
    <w:basedOn w:val="Normln"/>
    <w:rsid w:val="00495144"/>
    <w:pPr>
      <w:tabs>
        <w:tab w:val="center" w:pos="4536"/>
        <w:tab w:val="right" w:pos="9072"/>
      </w:tabs>
      <w:ind w:firstLine="0"/>
    </w:pPr>
    <w:rPr>
      <w:sz w:val="20"/>
    </w:rPr>
  </w:style>
  <w:style w:type="paragraph" w:styleId="Obsah1">
    <w:name w:val="toc 1"/>
    <w:basedOn w:val="Normln"/>
    <w:next w:val="Normln"/>
    <w:autoRedefine/>
    <w:uiPriority w:val="39"/>
    <w:rsid w:val="00D17C8A"/>
    <w:pPr>
      <w:spacing w:before="60"/>
      <w:ind w:firstLine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D17C8A"/>
    <w:pPr>
      <w:spacing w:before="60"/>
      <w:ind w:left="198" w:firstLine="0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D17C8A"/>
    <w:pPr>
      <w:spacing w:before="60"/>
      <w:ind w:left="397" w:firstLine="0"/>
    </w:pPr>
    <w:rPr>
      <w:caps/>
    </w:rPr>
  </w:style>
  <w:style w:type="paragraph" w:styleId="Obsah4">
    <w:name w:val="toc 4"/>
    <w:basedOn w:val="Normln"/>
    <w:next w:val="Normln"/>
    <w:autoRedefine/>
    <w:uiPriority w:val="39"/>
    <w:rsid w:val="00D17C8A"/>
    <w:pPr>
      <w:spacing w:before="60"/>
      <w:ind w:left="595" w:firstLine="0"/>
    </w:pPr>
  </w:style>
  <w:style w:type="paragraph" w:styleId="Obsah5">
    <w:name w:val="toc 5"/>
    <w:basedOn w:val="Normln"/>
    <w:next w:val="Normln"/>
    <w:autoRedefine/>
    <w:semiHidden/>
    <w:rsid w:val="00D17C8A"/>
    <w:pPr>
      <w:spacing w:before="60"/>
      <w:ind w:left="794" w:firstLine="0"/>
    </w:pPr>
    <w:rPr>
      <w:i/>
      <w:caps/>
    </w:rPr>
  </w:style>
  <w:style w:type="paragraph" w:styleId="Obsah6">
    <w:name w:val="toc 6"/>
    <w:basedOn w:val="Normln"/>
    <w:next w:val="Normln"/>
    <w:autoRedefine/>
    <w:semiHidden/>
    <w:rsid w:val="00D17C8A"/>
    <w:pPr>
      <w:spacing w:before="60"/>
      <w:ind w:left="992" w:firstLine="0"/>
    </w:pPr>
    <w:rPr>
      <w:i/>
    </w:rPr>
  </w:style>
  <w:style w:type="paragraph" w:styleId="Obsah7">
    <w:name w:val="toc 7"/>
    <w:basedOn w:val="Normln"/>
    <w:next w:val="Normln"/>
    <w:autoRedefine/>
    <w:semiHidden/>
    <w:rsid w:val="00D17C8A"/>
    <w:pPr>
      <w:spacing w:before="60"/>
      <w:ind w:left="1191" w:firstLine="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D17C8A"/>
    <w:pPr>
      <w:ind w:left="1389" w:firstLine="0"/>
    </w:pPr>
    <w:rPr>
      <w:i/>
      <w:sz w:val="20"/>
    </w:rPr>
  </w:style>
  <w:style w:type="paragraph" w:styleId="Obsah9">
    <w:name w:val="toc 9"/>
    <w:basedOn w:val="Normln"/>
    <w:next w:val="Normln"/>
    <w:autoRedefine/>
    <w:semiHidden/>
    <w:rsid w:val="00D17C8A"/>
    <w:pPr>
      <w:ind w:left="1588" w:firstLine="0"/>
    </w:pPr>
    <w:rPr>
      <w:i/>
      <w:sz w:val="20"/>
    </w:rPr>
  </w:style>
  <w:style w:type="paragraph" w:styleId="Textbubliny">
    <w:name w:val="Balloon Text"/>
    <w:basedOn w:val="Normln"/>
    <w:link w:val="TextbublinyChar"/>
    <w:qFormat/>
    <w:rsid w:val="00EB1134"/>
    <w:rPr>
      <w:rFonts w:ascii="Tahoma" w:hAnsi="Tahoma"/>
      <w:sz w:val="16"/>
      <w:szCs w:val="16"/>
    </w:rPr>
  </w:style>
  <w:style w:type="paragraph" w:customStyle="1" w:styleId="Normlnprvnodsazen">
    <w:name w:val="Normální + první odsazený"/>
    <w:basedOn w:val="Normln"/>
    <w:qFormat/>
    <w:rsid w:val="00166282"/>
    <w:pPr>
      <w:ind w:firstLine="680"/>
    </w:pPr>
    <w:rPr>
      <w:rFonts w:eastAsia="Calibri" w:cs="Arial"/>
      <w:szCs w:val="22"/>
    </w:rPr>
  </w:style>
  <w:style w:type="paragraph" w:styleId="Textkomente">
    <w:name w:val="annotation text"/>
    <w:basedOn w:val="Normln"/>
    <w:link w:val="TextkomenteChar"/>
    <w:qFormat/>
    <w:rsid w:val="007854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85496"/>
    <w:rPr>
      <w:b/>
      <w:bCs/>
    </w:rPr>
  </w:style>
  <w:style w:type="paragraph" w:styleId="Podnadpis">
    <w:name w:val="Subtitle"/>
    <w:basedOn w:val="Normln"/>
    <w:link w:val="PodnadpisChar"/>
    <w:qFormat/>
    <w:rsid w:val="00F26819"/>
    <w:pPr>
      <w:ind w:firstLine="0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1A6A5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94FAC"/>
    <w:pPr>
      <w:ind w:left="720" w:firstLine="0"/>
      <w:contextualSpacing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DD792F"/>
    <w:pPr>
      <w:spacing w:after="120"/>
      <w:ind w:left="283"/>
    </w:pPr>
  </w:style>
  <w:style w:type="paragraph" w:customStyle="1" w:styleId="HEL11">
    <w:name w:val="HEL1.1"/>
    <w:basedOn w:val="Normln"/>
    <w:link w:val="HEL11Char"/>
    <w:qFormat/>
    <w:rsid w:val="00DD792F"/>
    <w:pPr>
      <w:ind w:firstLine="0"/>
      <w:jc w:val="both"/>
    </w:pPr>
    <w:rPr>
      <w:rFonts w:ascii="Calibri" w:hAnsi="Calibri"/>
      <w:b/>
      <w:sz w:val="24"/>
    </w:rPr>
  </w:style>
  <w:style w:type="paragraph" w:customStyle="1" w:styleId="HEL12">
    <w:name w:val="HEL1.2"/>
    <w:basedOn w:val="Normln"/>
    <w:link w:val="HEL12Char"/>
    <w:qFormat/>
    <w:rsid w:val="00DD792F"/>
    <w:pPr>
      <w:widowControl w:val="0"/>
      <w:ind w:firstLine="0"/>
      <w:jc w:val="both"/>
    </w:pPr>
    <w:rPr>
      <w:rFonts w:ascii="Calibri" w:hAnsi="Calibri"/>
      <w:b/>
      <w:sz w:val="20"/>
      <w:szCs w:val="22"/>
    </w:rPr>
  </w:style>
  <w:style w:type="paragraph" w:customStyle="1" w:styleId="PMNormalIndent">
    <w:name w:val="PM_NormalIndent"/>
    <w:basedOn w:val="Normlnodsazen"/>
    <w:link w:val="PMNormalIndentChar"/>
    <w:qFormat/>
    <w:rsid w:val="001B4062"/>
    <w:pPr>
      <w:spacing w:before="120" w:after="120"/>
      <w:ind w:left="851" w:firstLine="0"/>
    </w:pPr>
    <w:rPr>
      <w:sz w:val="20"/>
      <w:lang w:val="fr-FR" w:eastAsia="en-GB"/>
    </w:rPr>
  </w:style>
  <w:style w:type="paragraph" w:styleId="Normlnodsazen">
    <w:name w:val="Normal Indent"/>
    <w:basedOn w:val="Normln"/>
    <w:qFormat/>
    <w:rsid w:val="001B4062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B04DD4"/>
    <w:pPr>
      <w:spacing w:beforeAutospacing="1" w:afterAutospacing="1"/>
      <w:ind w:firstLine="0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E3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zvraznn11">
    <w:name w:val="Světlá mřížka – zvýraznění 11"/>
    <w:basedOn w:val="Normlntabulka"/>
    <w:uiPriority w:val="62"/>
    <w:rsid w:val="00294FA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evize">
    <w:name w:val="Revision"/>
    <w:hidden/>
    <w:uiPriority w:val="99"/>
    <w:semiHidden/>
    <w:rsid w:val="002D1223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94A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0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2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TKP_1.pdf" TargetMode="External"/><Relationship Id="rId13" Type="http://schemas.openxmlformats.org/officeDocument/2006/relationships/hyperlink" Target="http://www.pjpk.cz/TKP_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jpk.cz/TKP_1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TKP_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jpk.cz/TKP_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pk.cz/TKP_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43FE-4DA1-49A6-AC20-1837B91A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EGE-montáže, spol. s r.o.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kratochvilova_01</dc:creator>
  <dc:description/>
  <cp:lastModifiedBy>Jiří Drbohlav</cp:lastModifiedBy>
  <cp:revision>2</cp:revision>
  <cp:lastPrinted>2024-10-17T09:29:00Z</cp:lastPrinted>
  <dcterms:created xsi:type="dcterms:W3CDTF">2025-09-06T12:20:00Z</dcterms:created>
  <dcterms:modified xsi:type="dcterms:W3CDTF">2025-09-06T12:20:00Z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EGE-montáže, spol. s 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