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6A70" w14:textId="01409B88" w:rsidR="002F6D41" w:rsidRPr="002F6D41" w:rsidRDefault="002F6D41" w:rsidP="002F6D41">
      <w:pPr>
        <w:spacing w:after="200" w:line="276" w:lineRule="auto"/>
        <w:jc w:val="both"/>
        <w:rPr>
          <w:rFonts w:ascii="Arial" w:hAnsi="Arial" w:cs="Arial"/>
          <w:b/>
          <w:color w:val="2F5496" w:themeColor="accent1" w:themeShade="BF"/>
          <w:kern w:val="0"/>
          <w:sz w:val="32"/>
          <w:szCs w:val="32"/>
          <w14:ligatures w14:val="none"/>
        </w:rPr>
      </w:pPr>
      <w:r w:rsidRPr="002F6D41">
        <w:rPr>
          <w:rFonts w:ascii="Arial" w:hAnsi="Arial" w:cs="Arial"/>
          <w:b/>
          <w:color w:val="2F5496" w:themeColor="accent1" w:themeShade="BF"/>
          <w:kern w:val="0"/>
          <w:sz w:val="32"/>
          <w:szCs w:val="32"/>
          <w14:ligatures w14:val="none"/>
        </w:rPr>
        <w:t>Strategie rozvoje odpadového hospodářství obce Psáry</w:t>
      </w:r>
    </w:p>
    <w:p w14:paraId="56587DA2" w14:textId="77777777" w:rsidR="009C1CF4" w:rsidRDefault="009C1CF4" w:rsidP="002F6D41">
      <w:pPr>
        <w:spacing w:after="120"/>
        <w:jc w:val="both"/>
      </w:pPr>
    </w:p>
    <w:p w14:paraId="2B531556" w14:textId="7F21FF9F" w:rsidR="002F6D41" w:rsidRDefault="002F6D41" w:rsidP="002F6D4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Strategie OH je navrhnout další rozvoj odpadového hospodářství obce s ohledem na zákonné povinnosti a předpokládaný vývoj nakládání s odpady v podmínkách evropského oběhového hospodářství. </w:t>
      </w:r>
    </w:p>
    <w:p w14:paraId="2D666041" w14:textId="77777777" w:rsidR="002F6D41" w:rsidRDefault="002F6D41" w:rsidP="002F6D4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Strategie OH obsahuje dvě části:</w:t>
      </w:r>
    </w:p>
    <w:p w14:paraId="4B87798D" w14:textId="77777777" w:rsidR="002F6D41" w:rsidRDefault="002F6D41" w:rsidP="002F6D4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Analytická část </w:t>
      </w:r>
    </w:p>
    <w:p w14:paraId="274EEB31" w14:textId="77777777" w:rsidR="002F6D41" w:rsidRPr="00C8011A" w:rsidRDefault="002F6D41" w:rsidP="002F6D4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8011A">
        <w:rPr>
          <w:rFonts w:ascii="Arial" w:hAnsi="Arial" w:cs="Arial"/>
        </w:rPr>
        <w:t xml:space="preserve">zhodnocení stavu odpadového hospodářství </w:t>
      </w:r>
      <w:r>
        <w:rPr>
          <w:rFonts w:ascii="Arial" w:hAnsi="Arial" w:cs="Arial"/>
        </w:rPr>
        <w:t>obce</w:t>
      </w:r>
      <w:r w:rsidRPr="00C8011A">
        <w:rPr>
          <w:rFonts w:ascii="Arial" w:hAnsi="Arial" w:cs="Arial"/>
        </w:rPr>
        <w:t xml:space="preserve"> pro jednotlivé materiálové toky produkovaných odpadů z pohledu technickoorganizačního řešení a ekonomické náročnosti systému pro </w:t>
      </w:r>
      <w:r>
        <w:rPr>
          <w:rFonts w:ascii="Arial" w:hAnsi="Arial" w:cs="Arial"/>
        </w:rPr>
        <w:t>obec</w:t>
      </w:r>
      <w:r w:rsidRPr="00C8011A">
        <w:rPr>
          <w:rFonts w:ascii="Arial" w:hAnsi="Arial" w:cs="Arial"/>
        </w:rPr>
        <w:t xml:space="preserve"> a s ohledem na povinnosti dle zákona o odpadech a dalších souvisejících právních předpisů.</w:t>
      </w:r>
    </w:p>
    <w:p w14:paraId="19A18FE5" w14:textId="77777777" w:rsidR="002F6D41" w:rsidRDefault="002F6D41" w:rsidP="002F6D4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Návrhová část </w:t>
      </w:r>
    </w:p>
    <w:p w14:paraId="6619F68B" w14:textId="77777777" w:rsidR="002F6D41" w:rsidRDefault="002F6D41" w:rsidP="002F6D4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8011A">
        <w:rPr>
          <w:rFonts w:ascii="Arial" w:hAnsi="Arial" w:cs="Arial"/>
        </w:rPr>
        <w:t xml:space="preserve">ávrh opatření a nástrojů na úpravu jednotlivých prvků systému </w:t>
      </w:r>
      <w:r>
        <w:rPr>
          <w:rFonts w:ascii="Arial" w:hAnsi="Arial" w:cs="Arial"/>
        </w:rPr>
        <w:t>OH obce</w:t>
      </w:r>
      <w:r w:rsidRPr="00C8011A">
        <w:rPr>
          <w:rFonts w:ascii="Arial" w:hAnsi="Arial" w:cs="Arial"/>
        </w:rPr>
        <w:t>, vedoucích k předcházení vzniku odpadů, maximalizaci využívání komunálních odpadů a zásadnímu omezování jejich skládkování ve snaze o ekonomickou udržitelnost a kontrolovatelnost celého řešení</w:t>
      </w:r>
    </w:p>
    <w:p w14:paraId="66D77BDE" w14:textId="77777777" w:rsidR="002F6D41" w:rsidRDefault="002F6D41" w:rsidP="002F6D41">
      <w:pPr>
        <w:jc w:val="both"/>
        <w:rPr>
          <w:rFonts w:ascii="Arial" w:hAnsi="Arial" w:cs="Arial"/>
          <w:b/>
          <w:bCs/>
        </w:rPr>
      </w:pPr>
    </w:p>
    <w:p w14:paraId="4D2AAE55" w14:textId="77777777" w:rsidR="002F6D41" w:rsidRPr="00243A94" w:rsidRDefault="002F6D41" w:rsidP="002F6D41">
      <w:pPr>
        <w:pStyle w:val="nadpis1"/>
        <w:numPr>
          <w:ilvl w:val="0"/>
          <w:numId w:val="11"/>
        </w:numPr>
        <w:spacing w:after="120" w:line="259" w:lineRule="auto"/>
        <w:rPr>
          <w:color w:val="2F5496" w:themeColor="accent1" w:themeShade="BF"/>
        </w:rPr>
      </w:pPr>
      <w:r w:rsidRPr="00243A94">
        <w:rPr>
          <w:color w:val="2F5496" w:themeColor="accent1" w:themeShade="BF"/>
        </w:rPr>
        <w:t>Shrnutí Analytické části</w:t>
      </w:r>
    </w:p>
    <w:p w14:paraId="520F8FF1" w14:textId="269B5B92" w:rsidR="002F6D41" w:rsidRDefault="002F6D41" w:rsidP="002F6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a</w:t>
      </w:r>
      <w:r w:rsidRPr="008B6145">
        <w:rPr>
          <w:rFonts w:ascii="Arial" w:hAnsi="Arial" w:cs="Arial"/>
        </w:rPr>
        <w:t>nalytick</w:t>
      </w:r>
      <w:r>
        <w:rPr>
          <w:rFonts w:ascii="Arial" w:hAnsi="Arial" w:cs="Arial"/>
        </w:rPr>
        <w:t>é</w:t>
      </w:r>
      <w:r w:rsidRPr="008B6145">
        <w:rPr>
          <w:rFonts w:ascii="Arial" w:hAnsi="Arial" w:cs="Arial"/>
        </w:rPr>
        <w:t xml:space="preserve"> část</w:t>
      </w:r>
      <w:r>
        <w:rPr>
          <w:rFonts w:ascii="Arial" w:hAnsi="Arial" w:cs="Arial"/>
        </w:rPr>
        <w:t>i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 posouzen</w:t>
      </w:r>
      <w:r w:rsidRPr="008B6145">
        <w:rPr>
          <w:rFonts w:ascii="Arial" w:hAnsi="Arial" w:cs="Arial"/>
        </w:rPr>
        <w:t xml:space="preserve"> systém nakládání s odpady v</w:t>
      </w:r>
      <w:r>
        <w:rPr>
          <w:rFonts w:ascii="Arial" w:hAnsi="Arial" w:cs="Arial"/>
        </w:rPr>
        <w:t xml:space="preserve"> obci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Psáry ke konci r. 2024 a z počátku roku 2025. C</w:t>
      </w:r>
      <w:r w:rsidRPr="008B6145">
        <w:rPr>
          <w:rFonts w:ascii="Arial" w:hAnsi="Arial" w:cs="Arial"/>
        </w:rPr>
        <w:t>harakterist</w:t>
      </w:r>
      <w:r>
        <w:rPr>
          <w:rFonts w:ascii="Arial" w:hAnsi="Arial" w:cs="Arial"/>
        </w:rPr>
        <w:t>iky OH většinově vycházejí z dat za období let 2019-2023, a to zejména pro možnost porovnání obce s referenčními skupinami obcí v ČR</w:t>
      </w:r>
      <w:r w:rsidRPr="008B6145">
        <w:rPr>
          <w:rFonts w:ascii="Arial" w:hAnsi="Arial" w:cs="Arial"/>
        </w:rPr>
        <w:t>.</w:t>
      </w:r>
    </w:p>
    <w:p w14:paraId="3A120032" w14:textId="77777777" w:rsidR="002F6D41" w:rsidRPr="00356781" w:rsidRDefault="002F6D41" w:rsidP="002F6D41">
      <w:pPr>
        <w:jc w:val="both"/>
        <w:rPr>
          <w:rFonts w:ascii="Arial" w:hAnsi="Arial"/>
          <w:u w:val="single"/>
        </w:rPr>
      </w:pPr>
      <w:r w:rsidRPr="00356781">
        <w:rPr>
          <w:rFonts w:ascii="Arial" w:hAnsi="Arial"/>
          <w:u w:val="single"/>
        </w:rPr>
        <w:t xml:space="preserve">Celkově lze hodnotit systém odpadového hospodářství </w:t>
      </w:r>
      <w:r>
        <w:rPr>
          <w:rFonts w:ascii="Arial" w:hAnsi="Arial"/>
          <w:u w:val="single"/>
        </w:rPr>
        <w:t>obce</w:t>
      </w:r>
      <w:r w:rsidRPr="00356781">
        <w:rPr>
          <w:rFonts w:ascii="Arial" w:hAnsi="Arial"/>
          <w:u w:val="single"/>
        </w:rPr>
        <w:t xml:space="preserve"> jako funkční</w:t>
      </w:r>
      <w:r>
        <w:rPr>
          <w:rFonts w:ascii="Arial" w:hAnsi="Arial"/>
          <w:u w:val="single"/>
        </w:rPr>
        <w:t>. Systém ale v některých parametrech neodpovídá</w:t>
      </w:r>
      <w:r w:rsidRPr="00356781">
        <w:rPr>
          <w:rFonts w:ascii="Arial" w:hAnsi="Arial"/>
          <w:u w:val="single"/>
        </w:rPr>
        <w:t xml:space="preserve"> zákonným požadavkům dle zákona o odpadech</w:t>
      </w:r>
      <w:r>
        <w:rPr>
          <w:rFonts w:ascii="Arial" w:hAnsi="Arial"/>
          <w:u w:val="single"/>
        </w:rPr>
        <w:t>. N</w:t>
      </w:r>
      <w:r w:rsidRPr="00356781">
        <w:rPr>
          <w:rFonts w:ascii="Arial" w:hAnsi="Arial"/>
          <w:u w:val="single"/>
        </w:rPr>
        <w:t xml:space="preserve">edostatkem systému je </w:t>
      </w:r>
      <w:r>
        <w:rPr>
          <w:rFonts w:ascii="Arial" w:hAnsi="Arial"/>
          <w:u w:val="single"/>
        </w:rPr>
        <w:t xml:space="preserve">vyšší produkce směsných komunálních odpadů a zejména netříděných objemných odpadů, která má za následek vysoké náklady na nakládání s těmito odpady a zároveň vede k tomu, že obec nemá předpoklady plnit zákonné cíle pro třídění KO. Nedostatkem jsou také velmi vysoké náklady na tříděný sběr plastů a papíru a vyšší náklady na sběr bioodpadů a objemných odpadů. </w:t>
      </w:r>
    </w:p>
    <w:p w14:paraId="5F9E4A5D" w14:textId="77777777" w:rsidR="002F6D41" w:rsidRPr="00F65736" w:rsidRDefault="002F6D41" w:rsidP="002F6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Psáry měla v době zpracování studie 4 226 trvale hlášených obyvatel (k 1. 1. 2024), k tomu v obci pobývá 1200-1500 osob bez trvalého pobytu. Většina obyvatel žije v rodinných domech. </w:t>
      </w:r>
    </w:p>
    <w:p w14:paraId="5697C792" w14:textId="77777777" w:rsidR="002F6D41" w:rsidRPr="00660BE0" w:rsidRDefault="002F6D41" w:rsidP="002F6D41">
      <w:pPr>
        <w:spacing w:after="120"/>
        <w:jc w:val="both"/>
        <w:rPr>
          <w:rFonts w:ascii="Arial" w:hAnsi="Arial" w:cs="Arial"/>
          <w:b/>
        </w:rPr>
      </w:pPr>
      <w:r w:rsidRPr="00660BE0">
        <w:rPr>
          <w:rFonts w:ascii="Arial" w:hAnsi="Arial" w:cs="Arial"/>
          <w:b/>
        </w:rPr>
        <w:t xml:space="preserve">Systém odpadového hospodářství </w:t>
      </w:r>
    </w:p>
    <w:p w14:paraId="17D01A90" w14:textId="77777777" w:rsidR="002F6D41" w:rsidRPr="00660BE0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Obecní systém odpadového hospodářství</w:t>
      </w:r>
      <w:r w:rsidRPr="00740A1E">
        <w:rPr>
          <w:rFonts w:ascii="Arial" w:hAnsi="Arial" w:cs="Arial"/>
          <w:u w:val="single"/>
        </w:rPr>
        <w:t xml:space="preserve"> je upraven obecně závaznou vyhláškou č. </w:t>
      </w:r>
      <w:r>
        <w:rPr>
          <w:rFonts w:ascii="Arial" w:hAnsi="Arial" w:cs="Arial"/>
          <w:u w:val="single"/>
        </w:rPr>
        <w:t>1</w:t>
      </w:r>
      <w:r w:rsidRPr="00C027E8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. </w:t>
      </w:r>
      <w:r w:rsidRPr="00660BE0">
        <w:rPr>
          <w:rFonts w:ascii="Arial" w:hAnsi="Arial" w:cs="Arial"/>
        </w:rPr>
        <w:t>V</w:t>
      </w:r>
      <w:r w:rsidRPr="00617019">
        <w:rPr>
          <w:rFonts w:ascii="Arial" w:hAnsi="Arial" w:cs="Arial"/>
        </w:rPr>
        <w:t xml:space="preserve">yhláška odpovídá </w:t>
      </w:r>
      <w:r>
        <w:rPr>
          <w:rFonts w:ascii="Arial" w:hAnsi="Arial" w:cs="Arial"/>
        </w:rPr>
        <w:t xml:space="preserve">požadavkům MV na obsah vyhlášky a stanoví obecní systém dle §59 zákona o odpadech. Ve vyhlášce v rozporu se zákonem chybí určení míst pro sběr textilních odpadů, není dostatečná specifikace nádob na SKO, ustanovení o stavebních odpadech, ustanovení o předcházení vzniku odpadů a místech zpětného odběru. </w:t>
      </w:r>
    </w:p>
    <w:p w14:paraId="2597B6B8" w14:textId="77777777" w:rsidR="002F6D41" w:rsidRPr="00B04677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40A1E">
        <w:rPr>
          <w:rFonts w:ascii="Arial" w:hAnsi="Arial" w:cs="Arial"/>
          <w:u w:val="single"/>
        </w:rPr>
        <w:t>Občané jsou</w:t>
      </w:r>
      <w:r>
        <w:rPr>
          <w:rFonts w:ascii="Arial" w:hAnsi="Arial" w:cs="Arial"/>
        </w:rPr>
        <w:t xml:space="preserve"> </w:t>
      </w:r>
      <w:r w:rsidRPr="00740A1E">
        <w:rPr>
          <w:rFonts w:ascii="Arial" w:hAnsi="Arial" w:cs="Arial"/>
          <w:u w:val="single"/>
        </w:rPr>
        <w:t>zpoplatněni</w:t>
      </w:r>
      <w:r>
        <w:rPr>
          <w:rFonts w:ascii="Arial" w:hAnsi="Arial" w:cs="Arial"/>
          <w:u w:val="single"/>
        </w:rPr>
        <w:t xml:space="preserve"> za odkládání odpadů z nemovité věci </w:t>
      </w:r>
      <w:r w:rsidRPr="00740A1E">
        <w:rPr>
          <w:rFonts w:ascii="Arial" w:hAnsi="Arial" w:cs="Arial"/>
          <w:u w:val="single"/>
        </w:rPr>
        <w:t>místním poplatkem</w:t>
      </w:r>
      <w:r>
        <w:rPr>
          <w:rFonts w:ascii="Arial" w:hAnsi="Arial" w:cs="Arial"/>
          <w:u w:val="single"/>
        </w:rPr>
        <w:t xml:space="preserve"> na základě obecně závazné vyhlášky č. 5/2024.</w:t>
      </w:r>
      <w:r w:rsidRPr="00C02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Poplatek je stanoven na základě kapacity soustřeďovacích prostředků (sběrných nádob), ale výčet poplatků za použití sběrných prostředků na webových stránkách obce neodpovídá realitě v obci.  </w:t>
      </w:r>
    </w:p>
    <w:p w14:paraId="4849715B" w14:textId="77777777" w:rsidR="002F6D41" w:rsidRPr="00DA3B3D" w:rsidRDefault="002F6D41" w:rsidP="002F6D41">
      <w:pPr>
        <w:pStyle w:val="Odstavecseseznamem"/>
        <w:spacing w:after="120" w:line="259" w:lineRule="auto"/>
        <w:ind w:left="360"/>
        <w:jc w:val="both"/>
        <w:rPr>
          <w:rFonts w:ascii="Arial" w:hAnsi="Arial" w:cs="Arial"/>
          <w:color w:val="FF0000"/>
        </w:rPr>
      </w:pPr>
    </w:p>
    <w:p w14:paraId="5CE22013" w14:textId="77777777" w:rsidR="009C1CF4" w:rsidRDefault="009C1CF4" w:rsidP="002F6D41">
      <w:pPr>
        <w:spacing w:after="120"/>
        <w:jc w:val="both"/>
        <w:rPr>
          <w:rFonts w:ascii="Arial" w:hAnsi="Arial" w:cs="Arial"/>
          <w:b/>
        </w:rPr>
      </w:pPr>
    </w:p>
    <w:p w14:paraId="06B5AF32" w14:textId="77777777" w:rsidR="009C1CF4" w:rsidRDefault="009C1CF4" w:rsidP="002F6D41">
      <w:pPr>
        <w:spacing w:after="120"/>
        <w:jc w:val="both"/>
        <w:rPr>
          <w:rFonts w:ascii="Arial" w:hAnsi="Arial" w:cs="Arial"/>
          <w:b/>
        </w:rPr>
      </w:pPr>
    </w:p>
    <w:p w14:paraId="448E98F5" w14:textId="69F56878" w:rsidR="002F6D41" w:rsidRPr="00306AF0" w:rsidRDefault="002F6D41" w:rsidP="002F6D4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Organizace</w:t>
      </w:r>
      <w:r w:rsidRPr="00306AF0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dpadového hospodářství</w:t>
      </w:r>
    </w:p>
    <w:p w14:paraId="2D8ED43C" w14:textId="2067FC0F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C1CF4">
        <w:rPr>
          <w:rFonts w:ascii="Arial" w:hAnsi="Arial" w:cs="Arial"/>
          <w:u w:val="single"/>
        </w:rPr>
        <w:t xml:space="preserve">Provoz odpadového hospodářství je zajišťován firmou Technické služby </w:t>
      </w:r>
      <w:proofErr w:type="spellStart"/>
      <w:r w:rsidRPr="009C1CF4">
        <w:rPr>
          <w:rFonts w:ascii="Arial" w:hAnsi="Arial" w:cs="Arial"/>
          <w:u w:val="single"/>
        </w:rPr>
        <w:t>Dolnobřežanska</w:t>
      </w:r>
      <w:proofErr w:type="spellEnd"/>
      <w:r w:rsidRPr="009C1CF4">
        <w:rPr>
          <w:rFonts w:ascii="Arial" w:hAnsi="Arial" w:cs="Arial"/>
          <w:u w:val="single"/>
        </w:rPr>
        <w:t xml:space="preserve"> s.r.o.</w:t>
      </w:r>
      <w:r w:rsidR="009C1CF4">
        <w:rPr>
          <w:rFonts w:ascii="Arial" w:hAnsi="Arial" w:cs="Arial"/>
          <w:u w:val="single"/>
        </w:rPr>
        <w:t xml:space="preserve"> Sále také TSDB)</w:t>
      </w:r>
      <w:r>
        <w:rPr>
          <w:rFonts w:ascii="Arial" w:hAnsi="Arial" w:cs="Arial"/>
        </w:rPr>
        <w:t>, ve které má obec Psáry vlastnický podíl. Firma je spoluvlastněná 10 obcemi společníky</w:t>
      </w:r>
      <w:r w:rsidRPr="009400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B70C47B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TSDB zajišťují pro obec nakládání s SKO (tato činnost je zajištěna subdodávkou firmou FCC Česká republika), tříděný sběr využitelných složek, svoz bioodpadů z nádobového sběru od obyvatel obce. Zajišťují také odvoz většiny odpadů ze sběrného dvora v Psárech, byť smluvní zajištění této služby neodpovídá požadavkům zákona o odpadech (TSDB by měly figurovat pouze jako dopravce). </w:t>
      </w:r>
    </w:p>
    <w:p w14:paraId="102E95DA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TSDB poskytuje služby v OH dalším 3 obcím.</w:t>
      </w:r>
    </w:p>
    <w:p w14:paraId="663786A3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Obce jako vlastníci nevyužívají dostatečně potenciál společných TS k zajištění služeb a dalšímu rozvoji OH.  </w:t>
      </w:r>
    </w:p>
    <w:p w14:paraId="7B350F20" w14:textId="77777777" w:rsidR="002F6D41" w:rsidRPr="00AC0E1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Obec má smlouvu s EKO-KOM, a.s. na zajištění zpětného odběru obalových odpadů, odměna ze smlouvy je </w:t>
      </w:r>
      <w:r w:rsidRPr="00EE62FE">
        <w:rPr>
          <w:rFonts w:ascii="Arial" w:hAnsi="Arial" w:cs="Arial"/>
        </w:rPr>
        <w:t xml:space="preserve">příjmem </w:t>
      </w:r>
      <w:r>
        <w:rPr>
          <w:rFonts w:ascii="Arial" w:hAnsi="Arial" w:cs="Arial"/>
        </w:rPr>
        <w:t>obce</w:t>
      </w:r>
      <w:r w:rsidRPr="00EE62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Obec má na základě smlouvy o výpůjčce od EKO-</w:t>
      </w:r>
      <w:proofErr w:type="spellStart"/>
      <w:r>
        <w:rPr>
          <w:rFonts w:ascii="Arial" w:hAnsi="Arial" w:cs="Arial"/>
        </w:rPr>
        <w:t>KOMu</w:t>
      </w:r>
      <w:proofErr w:type="spellEnd"/>
      <w:r>
        <w:rPr>
          <w:rFonts w:ascii="Arial" w:hAnsi="Arial" w:cs="Arial"/>
        </w:rPr>
        <w:t xml:space="preserve"> bezplatně zapůjčeny téměř všechny kontejnery na třídění odpadů. </w:t>
      </w:r>
    </w:p>
    <w:p w14:paraId="3D923EC1" w14:textId="77777777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Smlouvy jsou uzavřeny mezi obcí a kolektivními systémy </w:t>
      </w:r>
      <w:proofErr w:type="spellStart"/>
      <w:r>
        <w:rPr>
          <w:rFonts w:ascii="Arial" w:hAnsi="Arial" w:cs="Arial"/>
        </w:rPr>
        <w:t>Asekol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Elektrowin</w:t>
      </w:r>
      <w:proofErr w:type="spellEnd"/>
      <w:r>
        <w:rPr>
          <w:rFonts w:ascii="Arial" w:hAnsi="Arial" w:cs="Arial"/>
        </w:rPr>
        <w:t>, a EKOLAMP na zpětný odběr elektrozařízení. Zpětný odběr baterií je smluvně zajištěn s kolektivním systémem ECOBAT. Obec má od r. 2024 smlouvu s kolektivním systémem NEVAJGLUJ na úhradu nákladů na úklid nedopalků.</w:t>
      </w:r>
    </w:p>
    <w:p w14:paraId="2E7E3CF8" w14:textId="77777777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 použitého textilu (předcházení vzniku odpadů) je smluvně zajištěn mezi obcí a organizací </w:t>
      </w:r>
      <w:proofErr w:type="spellStart"/>
      <w:r>
        <w:rPr>
          <w:rFonts w:ascii="Arial" w:hAnsi="Arial" w:cs="Arial"/>
        </w:rPr>
        <w:t>KlokTex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 xml:space="preserve">. </w:t>
      </w:r>
    </w:p>
    <w:p w14:paraId="3BF5BB2E" w14:textId="77777777" w:rsidR="002F6D41" w:rsidRPr="00F50F3B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 olejů a tuků zajišťuje smluvně Eduard Císař, byť odvoz olejů nebyl zatím uskutečněn. </w:t>
      </w:r>
    </w:p>
    <w:p w14:paraId="5D1A9951" w14:textId="77777777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E62FE">
        <w:rPr>
          <w:rFonts w:ascii="Arial" w:hAnsi="Arial" w:cs="Arial"/>
          <w:u w:val="single"/>
        </w:rPr>
        <w:t>Správ</w:t>
      </w:r>
      <w:r>
        <w:rPr>
          <w:rFonts w:ascii="Arial" w:hAnsi="Arial" w:cs="Arial"/>
          <w:u w:val="single"/>
        </w:rPr>
        <w:t>u</w:t>
      </w:r>
      <w:r w:rsidRPr="00EE62FE">
        <w:rPr>
          <w:rFonts w:ascii="Arial" w:hAnsi="Arial" w:cs="Arial"/>
          <w:u w:val="single"/>
        </w:rPr>
        <w:t xml:space="preserve"> odpadového hospodářství </w:t>
      </w:r>
      <w:r>
        <w:rPr>
          <w:rFonts w:ascii="Arial" w:hAnsi="Arial" w:cs="Arial"/>
          <w:u w:val="single"/>
        </w:rPr>
        <w:t>vykonává obec</w:t>
      </w:r>
      <w:r>
        <w:rPr>
          <w:rFonts w:ascii="Arial" w:hAnsi="Arial" w:cs="Arial"/>
        </w:rPr>
        <w:t xml:space="preserve">. Patří do gesce místostarosty obce. Pracovnice obce vede evidenci odpadů podle zákona a poskytuje výkazy a reporty EKO-KOM a.s. a dalším kolektivním systémům. V evidenci a reportech jsou nedostatky (chybně zařazované odpady, odpady sbírané v rozporem s provozním řádem sběrného dvora, chybně vykazované údaje do výkazů EKO-KOM).  </w:t>
      </w:r>
    </w:p>
    <w:p w14:paraId="6078AED0" w14:textId="77777777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Obec</w:t>
      </w:r>
      <w:r w:rsidRPr="00740A1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ne</w:t>
      </w:r>
      <w:r w:rsidRPr="00740A1E">
        <w:rPr>
          <w:rFonts w:ascii="Arial" w:hAnsi="Arial" w:cs="Arial"/>
          <w:u w:val="single"/>
        </w:rPr>
        <w:t>umožňuje právnickým a podnikajícím fyzickým osobám zapojení do systému</w:t>
      </w:r>
      <w:r w:rsidRPr="00740A1E">
        <w:rPr>
          <w:rFonts w:ascii="Arial" w:hAnsi="Arial" w:cs="Arial"/>
        </w:rPr>
        <w:t xml:space="preserve"> svého</w:t>
      </w:r>
      <w:r>
        <w:rPr>
          <w:rFonts w:ascii="Arial" w:hAnsi="Arial" w:cs="Arial"/>
        </w:rPr>
        <w:t xml:space="preserve"> OH. </w:t>
      </w:r>
    </w:p>
    <w:p w14:paraId="10D73B1B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Obec neprovádí pravidelnou kontrolu, jak tito původci nakládají se svým odpadem a zda nezneužívají systém OH obce.</w:t>
      </w:r>
      <w:r w:rsidRPr="00306AF0">
        <w:rPr>
          <w:rFonts w:ascii="Arial" w:hAnsi="Arial" w:cs="Arial"/>
        </w:rPr>
        <w:t xml:space="preserve"> </w:t>
      </w:r>
    </w:p>
    <w:p w14:paraId="2C03309C" w14:textId="77777777" w:rsidR="002F6D41" w:rsidRPr="00F50F3B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Obyvatelé obce jsou informováni o systému OH </w:t>
      </w:r>
      <w:r w:rsidRPr="00F50F3B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F50F3B">
        <w:rPr>
          <w:rFonts w:ascii="Arial" w:hAnsi="Arial" w:cs="Arial"/>
        </w:rPr>
        <w:t>využitím</w:t>
      </w:r>
      <w:r>
        <w:rPr>
          <w:rFonts w:ascii="Arial" w:hAnsi="Arial" w:cs="Arial"/>
        </w:rPr>
        <w:t xml:space="preserve"> webových stránek obce a příležitostně také obecního Psárského zpravodaje. </w:t>
      </w:r>
    </w:p>
    <w:p w14:paraId="116C942F" w14:textId="77777777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40A1E">
        <w:rPr>
          <w:rFonts w:ascii="Arial" w:hAnsi="Arial" w:cs="Arial"/>
        </w:rPr>
        <w:t xml:space="preserve">V oblasti </w:t>
      </w:r>
      <w:r w:rsidRPr="00383329">
        <w:rPr>
          <w:rFonts w:ascii="Arial" w:hAnsi="Arial" w:cs="Arial"/>
          <w:u w:val="single"/>
        </w:rPr>
        <w:t>předcházení vzniku odpadů</w:t>
      </w:r>
      <w:r w:rsidRPr="00740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v obci zaveden sběr použitého textilu. Obec nepodporuje domácí kompostování.</w:t>
      </w:r>
    </w:p>
    <w:p w14:paraId="0D7D9BCE" w14:textId="77777777" w:rsidR="002F6D41" w:rsidRPr="000E31D6" w:rsidRDefault="002F6D41" w:rsidP="002F6D41">
      <w:pPr>
        <w:pStyle w:val="Odstavecseseznamem"/>
        <w:spacing w:after="120" w:line="259" w:lineRule="auto"/>
        <w:ind w:left="357"/>
        <w:jc w:val="both"/>
        <w:rPr>
          <w:rFonts w:ascii="Arial" w:hAnsi="Arial" w:cs="Arial"/>
        </w:rPr>
      </w:pPr>
    </w:p>
    <w:p w14:paraId="26CEE150" w14:textId="77777777" w:rsidR="002F6D41" w:rsidRPr="006023F1" w:rsidRDefault="002F6D41" w:rsidP="002F6D41">
      <w:pPr>
        <w:spacing w:after="120"/>
        <w:jc w:val="both"/>
        <w:rPr>
          <w:rFonts w:ascii="Arial" w:hAnsi="Arial" w:cs="Arial"/>
          <w:b/>
        </w:rPr>
      </w:pPr>
      <w:r w:rsidRPr="006023F1">
        <w:rPr>
          <w:rFonts w:ascii="Arial" w:hAnsi="Arial" w:cs="Arial"/>
          <w:b/>
        </w:rPr>
        <w:t>Zařízení pro nakládání s odpady</w:t>
      </w:r>
    </w:p>
    <w:p w14:paraId="69A68BBB" w14:textId="77777777" w:rsidR="002F6D41" w:rsidRPr="006023F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trike/>
          <w:u w:val="single"/>
        </w:rPr>
      </w:pPr>
      <w:r w:rsidRPr="00AC2424">
        <w:rPr>
          <w:rFonts w:ascii="Arial" w:hAnsi="Arial" w:cs="Arial"/>
        </w:rPr>
        <w:t>Na území obce jsou provozována 3 zařízení pro nakládání s odpady</w:t>
      </w:r>
      <w:r>
        <w:rPr>
          <w:rFonts w:ascii="Arial" w:hAnsi="Arial" w:cs="Arial"/>
        </w:rPr>
        <w:t xml:space="preserve">, povolená dle zákona o odpadech. </w:t>
      </w:r>
      <w:r w:rsidRPr="00AC2424">
        <w:rPr>
          <w:rFonts w:ascii="Arial" w:hAnsi="Arial" w:cs="Arial"/>
          <w:u w:val="single"/>
        </w:rPr>
        <w:t>Obec Psáry je provozovatelem sběrného dvora.</w:t>
      </w:r>
      <w:r>
        <w:rPr>
          <w:rFonts w:ascii="Arial" w:hAnsi="Arial" w:cs="Arial"/>
        </w:rPr>
        <w:t xml:space="preserve"> Současný sběrný dvůr nemá ale platné povolení podle zákona č. 541/2020 Sb., o odpadech. Neoprávněně také předává odpad do mobilního zařízení TSDB, protože nemá až výjimky samostatné smlouvy s koncovými zařízeními na zpracování odpadů.  </w:t>
      </w:r>
    </w:p>
    <w:p w14:paraId="354B84B0" w14:textId="77777777" w:rsidR="002F6D41" w:rsidRPr="006023F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trike/>
          <w:u w:val="single"/>
        </w:rPr>
      </w:pPr>
      <w:r>
        <w:rPr>
          <w:rFonts w:ascii="Arial" w:hAnsi="Arial" w:cs="Arial"/>
        </w:rPr>
        <w:t xml:space="preserve">V okolí obce je provozováno několik sběrných dvorů a kompostáren. </w:t>
      </w:r>
    </w:p>
    <w:p w14:paraId="2D2E222A" w14:textId="77777777" w:rsidR="002F6D41" w:rsidRPr="00CC3C14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trike/>
          <w:u w:val="single"/>
        </w:rPr>
      </w:pPr>
      <w:r>
        <w:rPr>
          <w:rFonts w:ascii="Arial" w:hAnsi="Arial" w:cs="Arial"/>
        </w:rPr>
        <w:t xml:space="preserve">Nejbližší ZEVO je provozováno Pražskými službami a.s. v Praze, kde je energeticky využívána větší část SKO z obce.  </w:t>
      </w:r>
    </w:p>
    <w:p w14:paraId="5DE17102" w14:textId="77777777" w:rsidR="002F6D41" w:rsidRPr="004174C4" w:rsidRDefault="002F6D41" w:rsidP="002F6D41">
      <w:pPr>
        <w:pStyle w:val="Odstavecseseznamem"/>
        <w:spacing w:after="120" w:line="259" w:lineRule="auto"/>
        <w:ind w:left="360"/>
        <w:jc w:val="both"/>
        <w:rPr>
          <w:rFonts w:ascii="Arial" w:hAnsi="Arial" w:cs="Arial"/>
        </w:rPr>
      </w:pPr>
    </w:p>
    <w:p w14:paraId="2CB94C12" w14:textId="77777777" w:rsidR="002F6D41" w:rsidRPr="00F3677F" w:rsidRDefault="002F6D41" w:rsidP="002F6D41">
      <w:pPr>
        <w:spacing w:after="120"/>
        <w:jc w:val="both"/>
        <w:rPr>
          <w:rFonts w:ascii="Arial" w:hAnsi="Arial" w:cs="Arial"/>
          <w:b/>
        </w:rPr>
      </w:pPr>
      <w:r w:rsidRPr="00F3677F">
        <w:rPr>
          <w:rFonts w:ascii="Arial" w:hAnsi="Arial" w:cs="Arial"/>
          <w:b/>
        </w:rPr>
        <w:lastRenderedPageBreak/>
        <w:t>Produkce a nakládání s odpady</w:t>
      </w:r>
    </w:p>
    <w:p w14:paraId="5BA8090F" w14:textId="77777777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12C4">
        <w:rPr>
          <w:rFonts w:ascii="Arial" w:hAnsi="Arial" w:cs="Arial"/>
          <w:u w:val="single"/>
        </w:rPr>
        <w:t>Celková produkce odpadů</w:t>
      </w:r>
      <w:r w:rsidRPr="00F50F3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obci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činila</w:t>
      </w:r>
      <w:r w:rsidRPr="00753192">
        <w:rPr>
          <w:rFonts w:ascii="Arial" w:hAnsi="Arial" w:cs="Arial"/>
        </w:rPr>
        <w:t xml:space="preserve"> v r. 202</w:t>
      </w:r>
      <w:r>
        <w:rPr>
          <w:rFonts w:ascii="Arial" w:hAnsi="Arial" w:cs="Arial"/>
        </w:rPr>
        <w:t>4</w:t>
      </w:r>
      <w:r w:rsidRPr="00753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kolem</w:t>
      </w:r>
      <w:r w:rsidRPr="00753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2,25</w:t>
      </w:r>
      <w:r w:rsidRPr="00753192">
        <w:rPr>
          <w:rFonts w:ascii="Arial" w:hAnsi="Arial" w:cs="Arial"/>
        </w:rPr>
        <w:t xml:space="preserve"> tis. odpadů ročně (</w:t>
      </w:r>
      <w:r>
        <w:rPr>
          <w:rFonts w:ascii="Arial" w:hAnsi="Arial" w:cs="Arial"/>
        </w:rPr>
        <w:t>532</w:t>
      </w:r>
      <w:r w:rsidRPr="00753192">
        <w:rPr>
          <w:rFonts w:ascii="Arial" w:hAnsi="Arial" w:cs="Arial"/>
        </w:rPr>
        <w:t xml:space="preserve"> kg/obyvatel)</w:t>
      </w:r>
    </w:p>
    <w:p w14:paraId="587058F8" w14:textId="77777777" w:rsidR="002F6D41" w:rsidRPr="00550B8F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0B8F">
        <w:rPr>
          <w:rFonts w:ascii="Arial" w:hAnsi="Arial" w:cs="Arial"/>
          <w:u w:val="single"/>
        </w:rPr>
        <w:t>Komunální odpad</w:t>
      </w:r>
      <w:r w:rsidRPr="00550B8F">
        <w:rPr>
          <w:rFonts w:ascii="Arial" w:hAnsi="Arial" w:cs="Arial"/>
        </w:rPr>
        <w:t xml:space="preserve"> tvoří </w:t>
      </w:r>
      <w:r>
        <w:rPr>
          <w:rFonts w:ascii="Arial" w:hAnsi="Arial" w:cs="Arial"/>
        </w:rPr>
        <w:t>89</w:t>
      </w:r>
      <w:r w:rsidRPr="00550B8F">
        <w:rPr>
          <w:rFonts w:ascii="Arial" w:hAnsi="Arial" w:cs="Arial"/>
        </w:rPr>
        <w:t xml:space="preserve"> % veškeré produkce odpadů. Měrná produkce KO (</w:t>
      </w:r>
      <w:r>
        <w:rPr>
          <w:rFonts w:ascii="Arial" w:hAnsi="Arial" w:cs="Arial"/>
        </w:rPr>
        <w:t>474</w:t>
      </w:r>
      <w:r w:rsidRPr="00550B8F">
        <w:rPr>
          <w:rFonts w:ascii="Arial" w:hAnsi="Arial" w:cs="Arial"/>
        </w:rPr>
        <w:t xml:space="preserve"> kg/ob.) je srovn</w:t>
      </w:r>
      <w:r>
        <w:rPr>
          <w:rFonts w:ascii="Arial" w:hAnsi="Arial" w:cs="Arial"/>
        </w:rPr>
        <w:t>atelná</w:t>
      </w:r>
      <w:r w:rsidRPr="00550B8F">
        <w:rPr>
          <w:rFonts w:ascii="Arial" w:hAnsi="Arial" w:cs="Arial"/>
        </w:rPr>
        <w:t xml:space="preserve"> s průměrnými hodnotami z obcí Středočeského kraje (</w:t>
      </w:r>
      <w:r>
        <w:rPr>
          <w:rFonts w:ascii="Arial" w:hAnsi="Arial" w:cs="Arial"/>
        </w:rPr>
        <w:t>472</w:t>
      </w:r>
      <w:r w:rsidRPr="00550B8F">
        <w:rPr>
          <w:rFonts w:ascii="Arial" w:hAnsi="Arial" w:cs="Arial"/>
        </w:rPr>
        <w:t xml:space="preserve"> kg kg/obyv. v r. 202</w:t>
      </w:r>
      <w:r>
        <w:rPr>
          <w:rFonts w:ascii="Arial" w:hAnsi="Arial" w:cs="Arial"/>
        </w:rPr>
        <w:t>3</w:t>
      </w:r>
      <w:r w:rsidRPr="00550B8F">
        <w:rPr>
          <w:rFonts w:ascii="Arial" w:hAnsi="Arial" w:cs="Arial"/>
        </w:rPr>
        <w:t xml:space="preserve">). </w:t>
      </w:r>
    </w:p>
    <w:p w14:paraId="6911F7BC" w14:textId="77777777" w:rsidR="002F6D41" w:rsidRPr="00753192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53192">
        <w:rPr>
          <w:rFonts w:ascii="Arial" w:hAnsi="Arial" w:cs="Arial"/>
        </w:rPr>
        <w:t>Celková produkce odpadů</w:t>
      </w:r>
      <w:r>
        <w:rPr>
          <w:rFonts w:ascii="Arial" w:hAnsi="Arial" w:cs="Arial"/>
        </w:rPr>
        <w:t xml:space="preserve"> a produkce komunálních odpadů</w:t>
      </w:r>
      <w:r w:rsidRPr="00753192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obci</w:t>
      </w:r>
      <w:r w:rsidRPr="00753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v posledních 5 letech nijak zásadně nemění. </w:t>
      </w:r>
    </w:p>
    <w:p w14:paraId="7159D8BC" w14:textId="77777777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50B8F">
        <w:rPr>
          <w:rFonts w:ascii="Arial" w:hAnsi="Arial" w:cs="Arial"/>
        </w:rPr>
        <w:t xml:space="preserve">Z produkovaných komunálních odpadů </w:t>
      </w:r>
      <w:r w:rsidRPr="0075319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kolem 43 % odpadů vytřídí a předá k materiálovému využití. </w:t>
      </w:r>
    </w:p>
    <w:p w14:paraId="1EDCA4A7" w14:textId="79F978E4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Větší část zbytkových KO (směsný komunální odpad) je energeticky využívána v ZEVO Pražské služby. Menší část </w:t>
      </w:r>
      <w:r w:rsidR="009C1CF4">
        <w:rPr>
          <w:rFonts w:ascii="Arial" w:hAnsi="Arial" w:cs="Arial"/>
        </w:rPr>
        <w:t xml:space="preserve">zbytkových </w:t>
      </w:r>
      <w:r>
        <w:rPr>
          <w:rFonts w:ascii="Arial" w:hAnsi="Arial" w:cs="Arial"/>
        </w:rPr>
        <w:t xml:space="preserve">KO (21 %) se skládkuje. </w:t>
      </w:r>
    </w:p>
    <w:p w14:paraId="11A553FE" w14:textId="0FBBDA19" w:rsidR="002F6D41" w:rsidRDefault="002F6D41" w:rsidP="002F6D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65C15">
        <w:rPr>
          <w:rFonts w:ascii="Arial" w:hAnsi="Arial" w:cs="Arial"/>
          <w:u w:val="single"/>
        </w:rPr>
        <w:t>Míra odděleného soustřeďování KO</w:t>
      </w:r>
      <w:r>
        <w:rPr>
          <w:rFonts w:ascii="Arial" w:hAnsi="Arial" w:cs="Arial"/>
          <w:u w:val="single"/>
        </w:rPr>
        <w:t xml:space="preserve"> podle zákona</w:t>
      </w:r>
      <w:r w:rsidRPr="00E65C15">
        <w:rPr>
          <w:rFonts w:ascii="Arial" w:hAnsi="Arial" w:cs="Arial"/>
          <w:u w:val="single"/>
        </w:rPr>
        <w:t xml:space="preserve"> byla v r. 2024 kolem 46 %.</w:t>
      </w:r>
      <w:r>
        <w:rPr>
          <w:rFonts w:ascii="Arial" w:hAnsi="Arial" w:cs="Arial"/>
        </w:rPr>
        <w:t xml:space="preserve"> Obec tak nedosáhne </w:t>
      </w:r>
      <w:r w:rsidR="009C1CF4">
        <w:rPr>
          <w:rFonts w:ascii="Arial" w:hAnsi="Arial" w:cs="Arial"/>
        </w:rPr>
        <w:t xml:space="preserve">pro rok 2025 </w:t>
      </w:r>
      <w:r>
        <w:rPr>
          <w:rFonts w:ascii="Arial" w:hAnsi="Arial" w:cs="Arial"/>
        </w:rPr>
        <w:t>splnění zákonného cíle třídění</w:t>
      </w:r>
      <w:r w:rsidR="009C1C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60 % KO. Bez zásadního omezení produkce směsných a objemných odpadů a posílení třídění využitelných složek nebude možné cíle splnit.</w:t>
      </w:r>
    </w:p>
    <w:p w14:paraId="0E93E907" w14:textId="77777777" w:rsidR="002F6D41" w:rsidRPr="00062956" w:rsidRDefault="002F6D41" w:rsidP="002F6D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ascii="Arial" w:hAnsi="Arial" w:cs="Arial"/>
        </w:rPr>
      </w:pPr>
      <w:r w:rsidRPr="007376B1">
        <w:rPr>
          <w:rFonts w:ascii="Arial" w:hAnsi="Arial" w:cs="Arial"/>
          <w:u w:val="single"/>
        </w:rPr>
        <w:t>Produkce SKO</w:t>
      </w:r>
    </w:p>
    <w:p w14:paraId="5B5F7C65" w14:textId="77777777" w:rsidR="002F6D41" w:rsidRPr="008B614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8B6145">
        <w:rPr>
          <w:rFonts w:ascii="Arial" w:hAnsi="Arial" w:cs="Arial"/>
        </w:rPr>
        <w:t xml:space="preserve">Směsný komunální odpad </w:t>
      </w:r>
      <w:r>
        <w:rPr>
          <w:rFonts w:ascii="Arial" w:hAnsi="Arial" w:cs="Arial"/>
        </w:rPr>
        <w:t>tvoří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kolem 38</w:t>
      </w:r>
      <w:r w:rsidRPr="008B6145">
        <w:rPr>
          <w:rFonts w:ascii="Arial" w:hAnsi="Arial" w:cs="Arial"/>
        </w:rPr>
        <w:t xml:space="preserve"> % z celkového množství </w:t>
      </w:r>
      <w:r>
        <w:rPr>
          <w:rFonts w:ascii="Arial" w:hAnsi="Arial" w:cs="Arial"/>
        </w:rPr>
        <w:t>produkovaných odpadů, 42 % z produkce KO</w:t>
      </w:r>
      <w:r w:rsidRPr="008B61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Evidovaná</w:t>
      </w:r>
      <w:r w:rsidRPr="008B6145">
        <w:rPr>
          <w:rFonts w:ascii="Arial" w:hAnsi="Arial" w:cs="Arial"/>
        </w:rPr>
        <w:t xml:space="preserve"> produkce směsnéh</w:t>
      </w:r>
      <w:r>
        <w:rPr>
          <w:rFonts w:ascii="Arial" w:hAnsi="Arial" w:cs="Arial"/>
        </w:rPr>
        <w:t xml:space="preserve">o komunálního odpadu v roce 2024 činila 849 </w:t>
      </w:r>
      <w:r w:rsidRPr="008B6145">
        <w:rPr>
          <w:rFonts w:ascii="Arial" w:hAnsi="Arial" w:cs="Arial"/>
        </w:rPr>
        <w:t>tun.</w:t>
      </w:r>
    </w:p>
    <w:p w14:paraId="79341A23" w14:textId="77777777" w:rsidR="002F6D41" w:rsidRPr="004C5ACC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8B6145">
        <w:rPr>
          <w:rFonts w:ascii="Arial" w:hAnsi="Arial" w:cs="Arial"/>
        </w:rPr>
        <w:t>Průměrná produkce SKO na jed</w:t>
      </w:r>
      <w:r>
        <w:rPr>
          <w:rFonts w:ascii="Arial" w:hAnsi="Arial" w:cs="Arial"/>
        </w:rPr>
        <w:t xml:space="preserve">noho obyvatele vzrostla v r. 2021 a následně kolísá kolem 201 kg/obyvatel. Při srovnání je měrná produkce SKO v Psárech vyšší než v obcích obdobné velikosti (180 kg/obyv., r. 2023) a v ČR (181 kg/obyv., r. 2023). </w:t>
      </w:r>
    </w:p>
    <w:p w14:paraId="5EDB9CAF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Směsný komunální odpad je sbírán do menších sběrných nádob ve vlastnictví občanů, kontejnerů (1100 l) ve vlastnictví obce Psáry a plastových pytlů poskytovaných obcí majitelům chat. Pytlový sběr je dlouhodobě nevyhovující.  </w:t>
      </w:r>
    </w:p>
    <w:p w14:paraId="2A16DC0A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Větší část (84 %) SKO je energeticky využíváno v ZEVO Pražské služby. Menší část je skládkována na skládce FCC </w:t>
      </w:r>
      <w:proofErr w:type="spellStart"/>
      <w:r>
        <w:rPr>
          <w:rFonts w:ascii="Arial" w:hAnsi="Arial" w:cs="Arial"/>
        </w:rPr>
        <w:t>Regios</w:t>
      </w:r>
      <w:proofErr w:type="spellEnd"/>
      <w:r>
        <w:rPr>
          <w:rFonts w:ascii="Arial" w:hAnsi="Arial" w:cs="Arial"/>
        </w:rPr>
        <w:t xml:space="preserve"> v Úholičkách.</w:t>
      </w:r>
    </w:p>
    <w:p w14:paraId="4A0425C7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Vzhledem k nižší míře třídění KO bude muset obec zajistit vyšší materiálové využití KO a omezit produkci SKO. </w:t>
      </w:r>
    </w:p>
    <w:p w14:paraId="1C2A1B56" w14:textId="77777777" w:rsidR="002F6D41" w:rsidRPr="00A46035" w:rsidRDefault="002F6D41" w:rsidP="002F6D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ascii="Arial" w:hAnsi="Arial" w:cs="Arial"/>
          <w:u w:val="single"/>
        </w:rPr>
      </w:pPr>
      <w:r w:rsidRPr="00A46035">
        <w:rPr>
          <w:rFonts w:ascii="Arial" w:hAnsi="Arial" w:cs="Arial"/>
          <w:u w:val="single"/>
        </w:rPr>
        <w:t xml:space="preserve">Biologicky rozložitelné odpady </w:t>
      </w:r>
    </w:p>
    <w:p w14:paraId="16677621" w14:textId="77777777" w:rsidR="002F6D41" w:rsidRPr="00E65C1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Obec zajišťuje celoroční sběr bioodpadů prostřednictvím sběrného dvora. Doplňkově si obyvatele obce mohou objednat sběrné nádoby na bioodpady s frekvencí svozu 1x týdně nebo 1x 14 dní. Tato služba je ale placená (obec hradí pouze náklady na zpracování odpadů v kompostárně), je tedy málo využívaná (v r. 2024 bylo v obci takto používáno pouze 153 nádob). </w:t>
      </w:r>
    </w:p>
    <w:p w14:paraId="1A2B9932" w14:textId="77777777" w:rsidR="002F6D41" w:rsidRPr="00E65C1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Produkce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bioodpadů je vysoká (cca 121 kg/obyv.) a převyšuje průměr obcí Středočeského kraje (93 kg/obyv.).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Odděleně sbírané bioodpady tvoří více než 25 % z celkové produkce KO v obci.</w:t>
      </w:r>
    </w:p>
    <w:p w14:paraId="569A9499" w14:textId="77777777" w:rsidR="002F6D41" w:rsidRPr="00E65C1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2F2ED1">
        <w:rPr>
          <w:rFonts w:ascii="Arial" w:hAnsi="Arial" w:cs="Arial"/>
        </w:rPr>
        <w:t>Obec žádným způsobe</w:t>
      </w:r>
      <w:r>
        <w:rPr>
          <w:rFonts w:ascii="Arial" w:hAnsi="Arial" w:cs="Arial"/>
        </w:rPr>
        <w:t>m</w:t>
      </w:r>
      <w:r w:rsidRPr="002F2ED1">
        <w:rPr>
          <w:rFonts w:ascii="Arial" w:hAnsi="Arial" w:cs="Arial"/>
        </w:rPr>
        <w:t xml:space="preserve"> nepodporuje domácí kompostování. </w:t>
      </w:r>
    </w:p>
    <w:p w14:paraId="03439FBB" w14:textId="77777777" w:rsidR="002F6D41" w:rsidRPr="007F2575" w:rsidRDefault="002F6D41" w:rsidP="002F6D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ascii="Arial" w:hAnsi="Arial" w:cs="Arial"/>
          <w:u w:val="single"/>
        </w:rPr>
      </w:pPr>
      <w:r w:rsidRPr="007F2575">
        <w:rPr>
          <w:rFonts w:ascii="Arial" w:hAnsi="Arial" w:cs="Arial"/>
          <w:u w:val="single"/>
        </w:rPr>
        <w:t>Objemný odpad</w:t>
      </w:r>
    </w:p>
    <w:p w14:paraId="54537CDC" w14:textId="77777777" w:rsidR="002F6D41" w:rsidRPr="00A154A6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8B6145">
        <w:rPr>
          <w:rFonts w:ascii="Arial" w:hAnsi="Arial" w:cs="Arial"/>
        </w:rPr>
        <w:t>Produkce objem</w:t>
      </w:r>
      <w:r>
        <w:rPr>
          <w:rFonts w:ascii="Arial" w:hAnsi="Arial" w:cs="Arial"/>
        </w:rPr>
        <w:t>ného odpadu v r. 2024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činila</w:t>
      </w:r>
      <w:r w:rsidRPr="008B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necelých 292 </w:t>
      </w:r>
      <w:r w:rsidRPr="008B6145">
        <w:rPr>
          <w:rFonts w:ascii="Arial" w:hAnsi="Arial" w:cs="Arial"/>
        </w:rPr>
        <w:t xml:space="preserve">t, tj. cca </w:t>
      </w:r>
      <w:r>
        <w:rPr>
          <w:rFonts w:ascii="Arial" w:hAnsi="Arial" w:cs="Arial"/>
        </w:rPr>
        <w:t>69</w:t>
      </w:r>
      <w:r w:rsidRPr="008B6145">
        <w:rPr>
          <w:rFonts w:ascii="Arial" w:hAnsi="Arial" w:cs="Arial"/>
        </w:rPr>
        <w:t xml:space="preserve"> kg/obyvatel</w:t>
      </w:r>
      <w:r>
        <w:rPr>
          <w:rFonts w:ascii="Arial" w:hAnsi="Arial" w:cs="Arial"/>
        </w:rPr>
        <w:t xml:space="preserve">. Měrná produkce objemných odpadů (v kg/obyvatel) je ve srovnání s průměrem obcí Středočeského kraje (39 kg/obyv. v r. 2023) významně vyšší. Objemné odpady tvoří 14,5 % produkovaných komunálních odpadů. </w:t>
      </w:r>
    </w:p>
    <w:p w14:paraId="21E9D90B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Objemný odpad je sbírán celoročně do sběrného dvora. </w:t>
      </w:r>
    </w:p>
    <w:p w14:paraId="233852AA" w14:textId="4C611514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Otevírací doba sběrného dvora je </w:t>
      </w:r>
      <w:r w:rsidR="009C1CF4">
        <w:rPr>
          <w:rFonts w:ascii="Arial" w:hAnsi="Arial" w:cs="Arial"/>
        </w:rPr>
        <w:t xml:space="preserve">zcela </w:t>
      </w:r>
      <w:r>
        <w:rPr>
          <w:rFonts w:ascii="Arial" w:hAnsi="Arial" w:cs="Arial"/>
        </w:rPr>
        <w:t>nedostatečná.</w:t>
      </w:r>
    </w:p>
    <w:p w14:paraId="42C80B2A" w14:textId="77777777" w:rsidR="002F6D41" w:rsidRPr="00A154A6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  <w:u w:val="single"/>
        </w:rPr>
      </w:pPr>
      <w:r w:rsidRPr="00A6353F">
        <w:rPr>
          <w:rFonts w:ascii="Arial" w:hAnsi="Arial" w:cs="Arial"/>
        </w:rPr>
        <w:lastRenderedPageBreak/>
        <w:t>Objemný odpad</w:t>
      </w:r>
      <w:r>
        <w:rPr>
          <w:rFonts w:ascii="Arial" w:hAnsi="Arial" w:cs="Arial"/>
        </w:rPr>
        <w:t xml:space="preserve"> není dotřiďován a veškerý je odvážen na skládku FCC </w:t>
      </w:r>
      <w:proofErr w:type="spellStart"/>
      <w:r>
        <w:rPr>
          <w:rFonts w:ascii="Arial" w:hAnsi="Arial" w:cs="Arial"/>
        </w:rPr>
        <w:t>Regios</w:t>
      </w:r>
      <w:proofErr w:type="spellEnd"/>
      <w:r>
        <w:rPr>
          <w:rFonts w:ascii="Arial" w:hAnsi="Arial" w:cs="Arial"/>
        </w:rPr>
        <w:t>.</w:t>
      </w:r>
    </w:p>
    <w:p w14:paraId="0F612812" w14:textId="77777777" w:rsidR="002F6D41" w:rsidRPr="00A154A6" w:rsidRDefault="002F6D41" w:rsidP="002F6D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ascii="Arial" w:hAnsi="Arial" w:cs="Arial"/>
          <w:u w:val="single"/>
        </w:rPr>
      </w:pPr>
      <w:r w:rsidRPr="00A154A6">
        <w:rPr>
          <w:rFonts w:ascii="Arial" w:hAnsi="Arial" w:cs="Arial"/>
          <w:u w:val="single"/>
        </w:rPr>
        <w:t>Nebezpečné odpady</w:t>
      </w:r>
    </w:p>
    <w:p w14:paraId="1D4AFDE7" w14:textId="77777777" w:rsidR="002F6D41" w:rsidRPr="00A154A6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C82FC7">
        <w:rPr>
          <w:rFonts w:ascii="Arial" w:hAnsi="Arial" w:cs="Arial"/>
        </w:rPr>
        <w:t xml:space="preserve"> zajišťuje celoroční sběr nebezpečných odpadů do sběrn</w:t>
      </w:r>
      <w:r>
        <w:rPr>
          <w:rFonts w:ascii="Arial" w:hAnsi="Arial" w:cs="Arial"/>
        </w:rPr>
        <w:t xml:space="preserve">ého dvora. </w:t>
      </w:r>
    </w:p>
    <w:p w14:paraId="60FB45B5" w14:textId="77777777" w:rsidR="002F6D41" w:rsidRPr="00A154A6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C82FC7">
        <w:rPr>
          <w:rFonts w:ascii="Arial" w:hAnsi="Arial" w:cs="Arial"/>
        </w:rPr>
        <w:t xml:space="preserve">Produkce nebezpečných odpadů </w:t>
      </w:r>
      <w:r>
        <w:rPr>
          <w:rFonts w:ascii="Arial" w:hAnsi="Arial" w:cs="Arial"/>
        </w:rPr>
        <w:t xml:space="preserve">je velmi nízká, v r. 2024 se jednalo o cca 3,3 t (0,77 kg/obyv.). </w:t>
      </w:r>
      <w:r w:rsidRPr="00C82FC7">
        <w:rPr>
          <w:rFonts w:ascii="Arial" w:hAnsi="Arial" w:cs="Arial"/>
        </w:rPr>
        <w:t xml:space="preserve">Nebezpečné odpady tvoří </w:t>
      </w:r>
      <w:r>
        <w:rPr>
          <w:rFonts w:ascii="Arial" w:hAnsi="Arial" w:cs="Arial"/>
        </w:rPr>
        <w:t>1,6</w:t>
      </w:r>
      <w:r w:rsidRPr="00C82FC7">
        <w:rPr>
          <w:rFonts w:ascii="Arial" w:hAnsi="Arial" w:cs="Arial"/>
        </w:rPr>
        <w:t xml:space="preserve"> % z produkce </w:t>
      </w:r>
      <w:r>
        <w:rPr>
          <w:rFonts w:ascii="Arial" w:hAnsi="Arial" w:cs="Arial"/>
        </w:rPr>
        <w:t>komunálních odpadů</w:t>
      </w:r>
      <w:r w:rsidRPr="00C82FC7">
        <w:rPr>
          <w:rFonts w:ascii="Arial" w:hAnsi="Arial" w:cs="Arial"/>
        </w:rPr>
        <w:t xml:space="preserve">. </w:t>
      </w:r>
    </w:p>
    <w:p w14:paraId="22AE12D6" w14:textId="77777777" w:rsidR="002F6D41" w:rsidRPr="00D75E88" w:rsidRDefault="002F6D41" w:rsidP="002F6D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ascii="Arial" w:hAnsi="Arial" w:cs="Arial"/>
          <w:u w:val="single"/>
        </w:rPr>
      </w:pPr>
      <w:r w:rsidRPr="00D75E88">
        <w:rPr>
          <w:rFonts w:ascii="Arial" w:hAnsi="Arial" w:cs="Arial"/>
          <w:u w:val="single"/>
        </w:rPr>
        <w:t>Materiálově využitelné složky KO</w:t>
      </w:r>
    </w:p>
    <w:p w14:paraId="0B156CAB" w14:textId="641C8850" w:rsidR="002F6D41" w:rsidRPr="00F70DD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F70DD5">
        <w:rPr>
          <w:rFonts w:ascii="Arial" w:hAnsi="Arial" w:cs="Arial"/>
        </w:rPr>
        <w:t>Produkce využitelných složek KO (papír, plast, sklo, nápojový karton, kovy) v r. 202</w:t>
      </w:r>
      <w:r>
        <w:rPr>
          <w:rFonts w:ascii="Arial" w:hAnsi="Arial" w:cs="Arial"/>
        </w:rPr>
        <w:t>4</w:t>
      </w:r>
      <w:r w:rsidRPr="00F70DD5">
        <w:rPr>
          <w:rFonts w:ascii="Arial" w:hAnsi="Arial" w:cs="Arial"/>
        </w:rPr>
        <w:t xml:space="preserve"> činila cca </w:t>
      </w:r>
      <w:r>
        <w:rPr>
          <w:rFonts w:ascii="Arial" w:hAnsi="Arial" w:cs="Arial"/>
        </w:rPr>
        <w:t>349</w:t>
      </w:r>
      <w:r w:rsidRPr="00F70DD5">
        <w:rPr>
          <w:rFonts w:ascii="Arial" w:hAnsi="Arial" w:cs="Arial"/>
        </w:rPr>
        <w:t xml:space="preserve"> t, tj. </w:t>
      </w:r>
      <w:r>
        <w:rPr>
          <w:rFonts w:ascii="Arial" w:hAnsi="Arial" w:cs="Arial"/>
        </w:rPr>
        <w:t>82</w:t>
      </w:r>
      <w:r w:rsidRPr="00F70DD5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F70DD5">
        <w:rPr>
          <w:rFonts w:ascii="Arial" w:hAnsi="Arial" w:cs="Arial"/>
        </w:rPr>
        <w:t xml:space="preserve"> kg/obyvatel. Tyto složky tvoří 1</w:t>
      </w:r>
      <w:r>
        <w:rPr>
          <w:rFonts w:ascii="Arial" w:hAnsi="Arial" w:cs="Arial"/>
        </w:rPr>
        <w:t>7</w:t>
      </w:r>
      <w:r w:rsidRPr="00F70DD5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F70DD5">
        <w:rPr>
          <w:rFonts w:ascii="Arial" w:hAnsi="Arial" w:cs="Arial"/>
        </w:rPr>
        <w:t xml:space="preserve"> % z celkové produkce KO v</w:t>
      </w:r>
      <w:r>
        <w:rPr>
          <w:rFonts w:ascii="Arial" w:hAnsi="Arial" w:cs="Arial"/>
        </w:rPr>
        <w:t xml:space="preserve"> obci</w:t>
      </w:r>
      <w:r w:rsidRPr="00F70DD5">
        <w:rPr>
          <w:rFonts w:ascii="Arial" w:hAnsi="Arial" w:cs="Arial"/>
        </w:rPr>
        <w:t xml:space="preserve">. Produkce v posledních letech </w:t>
      </w:r>
      <w:r>
        <w:rPr>
          <w:rFonts w:ascii="Arial" w:hAnsi="Arial" w:cs="Arial"/>
        </w:rPr>
        <w:t xml:space="preserve">mírně </w:t>
      </w:r>
      <w:r w:rsidRPr="00F70DD5">
        <w:rPr>
          <w:rFonts w:ascii="Arial" w:hAnsi="Arial" w:cs="Arial"/>
        </w:rPr>
        <w:t>kolísá, nedochází ale k žádnému výraznému nárůstu</w:t>
      </w:r>
      <w:r>
        <w:rPr>
          <w:rFonts w:ascii="Arial" w:hAnsi="Arial" w:cs="Arial"/>
        </w:rPr>
        <w:t>. Výjimkou je r. 2024, kdy se do množství vytříděných KO započetly tříděné kovové odpady</w:t>
      </w:r>
      <w:r w:rsidR="009C1CF4">
        <w:rPr>
          <w:rFonts w:ascii="Arial" w:hAnsi="Arial" w:cs="Arial"/>
        </w:rPr>
        <w:t xml:space="preserve"> ze sběrného dvora</w:t>
      </w:r>
      <w:r>
        <w:rPr>
          <w:rFonts w:ascii="Arial" w:hAnsi="Arial" w:cs="Arial"/>
        </w:rPr>
        <w:t xml:space="preserve">. </w:t>
      </w:r>
      <w:r w:rsidRPr="00F70DD5">
        <w:rPr>
          <w:rFonts w:ascii="Arial" w:hAnsi="Arial" w:cs="Arial"/>
        </w:rPr>
        <w:t xml:space="preserve"> </w:t>
      </w:r>
    </w:p>
    <w:p w14:paraId="4FF69631" w14:textId="49C7478D" w:rsidR="002F6D41" w:rsidRPr="00F70DD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F70DD5">
        <w:rPr>
          <w:rFonts w:ascii="Arial" w:hAnsi="Arial" w:cs="Arial"/>
        </w:rPr>
        <w:t>Výkon tříděného sběru, tj. výtěžnost v kg/obyvatel</w:t>
      </w:r>
      <w:r>
        <w:rPr>
          <w:rFonts w:ascii="Arial" w:hAnsi="Arial" w:cs="Arial"/>
        </w:rPr>
        <w:t>,</w:t>
      </w:r>
      <w:r w:rsidRPr="00F70DD5">
        <w:rPr>
          <w:rFonts w:ascii="Arial" w:hAnsi="Arial" w:cs="Arial"/>
        </w:rPr>
        <w:t xml:space="preserve"> je ve srovnání s průměrem obcí ČR, Středočeského kraje a obdobně velkými </w:t>
      </w:r>
      <w:r>
        <w:rPr>
          <w:rFonts w:ascii="Arial" w:hAnsi="Arial" w:cs="Arial"/>
        </w:rPr>
        <w:t>obcemi</w:t>
      </w:r>
      <w:r w:rsidRPr="00F70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velmi dobrý </w:t>
      </w:r>
      <w:r w:rsidR="009C1CF4">
        <w:rPr>
          <w:rFonts w:ascii="Arial" w:hAnsi="Arial" w:cs="Arial"/>
        </w:rPr>
        <w:t>(</w:t>
      </w:r>
      <w:r>
        <w:rPr>
          <w:rFonts w:ascii="Arial" w:hAnsi="Arial" w:cs="Arial"/>
        </w:rPr>
        <w:t>s výjimkou kovových odpadů</w:t>
      </w:r>
      <w:r w:rsidR="009C1CF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F70DD5">
        <w:rPr>
          <w:rFonts w:ascii="Arial" w:hAnsi="Arial" w:cs="Arial"/>
        </w:rPr>
        <w:t xml:space="preserve"> </w:t>
      </w:r>
    </w:p>
    <w:p w14:paraId="41ECA6E0" w14:textId="77777777" w:rsidR="002F6D41" w:rsidRPr="00F70DD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F70DD5">
        <w:rPr>
          <w:rFonts w:ascii="Arial" w:hAnsi="Arial" w:cs="Arial"/>
        </w:rPr>
        <w:t>Hlavním způsobem sběru je nádobový sběr, sběr ve sběrném dvoře je jen doplňkový (větší význam má pouze u kovových odpadů</w:t>
      </w:r>
      <w:r>
        <w:rPr>
          <w:rFonts w:ascii="Arial" w:hAnsi="Arial" w:cs="Arial"/>
        </w:rPr>
        <w:t>, pokud se správně evidují</w:t>
      </w:r>
      <w:r w:rsidRPr="00F70DD5">
        <w:rPr>
          <w:rFonts w:ascii="Arial" w:hAnsi="Arial" w:cs="Arial"/>
        </w:rPr>
        <w:t xml:space="preserve">). Kontejnery jsou určené na samostatný sběr komodit (papír, plast, sklo barevné, nápojový karton, kovy). </w:t>
      </w:r>
    </w:p>
    <w:p w14:paraId="2ECAA762" w14:textId="77777777" w:rsidR="002F6D41" w:rsidRPr="00F70DD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70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pouze 22</w:t>
      </w:r>
      <w:r w:rsidRPr="00F70DD5">
        <w:rPr>
          <w:rFonts w:ascii="Arial" w:hAnsi="Arial" w:cs="Arial"/>
        </w:rPr>
        <w:t xml:space="preserve"> stanovišť vybavených pro sběr využitelných složek. </w:t>
      </w:r>
      <w:r>
        <w:rPr>
          <w:rFonts w:ascii="Arial" w:hAnsi="Arial" w:cs="Arial"/>
        </w:rPr>
        <w:t xml:space="preserve">Využitelné odpady lze odevzdat také do sběrného dvora. 5 stanovišť nemá kontejner na sklo. Kontejnery na nápojový karton a kovy jsou umístěné jen na některých stanovištích. </w:t>
      </w:r>
      <w:r w:rsidRPr="00F70DD5">
        <w:rPr>
          <w:rFonts w:ascii="Arial" w:hAnsi="Arial" w:cs="Arial"/>
        </w:rPr>
        <w:t>Dostupnost sběrné sítě není optimální</w:t>
      </w:r>
      <w:r>
        <w:rPr>
          <w:rFonts w:ascii="Arial" w:hAnsi="Arial" w:cs="Arial"/>
        </w:rPr>
        <w:t xml:space="preserve">, některá stanoviště jsou předimenzovaná co do počtu nádob. Malý počet stanovišť je částečně kompenzován častou frekvencí svozu, pro část obyvatel je ale dostupnost sběrné sítě nekonformní.    </w:t>
      </w:r>
      <w:r w:rsidRPr="00F70DD5">
        <w:rPr>
          <w:rFonts w:ascii="Arial" w:hAnsi="Arial" w:cs="Arial"/>
        </w:rPr>
        <w:t xml:space="preserve"> </w:t>
      </w:r>
    </w:p>
    <w:p w14:paraId="2F84236F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Veškeré sběrné nádoby (až na malé výjimky) jsou vlastněny EKO-KOM a.s. a obci bezplatně zapůjčeny. </w:t>
      </w:r>
    </w:p>
    <w:p w14:paraId="7B502214" w14:textId="77777777" w:rsidR="002F6D41" w:rsidRPr="00F70DD5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F70DD5">
        <w:rPr>
          <w:rFonts w:ascii="Arial" w:hAnsi="Arial" w:cs="Arial"/>
        </w:rPr>
        <w:t>Evidenc</w:t>
      </w:r>
      <w:r>
        <w:rPr>
          <w:rFonts w:ascii="Arial" w:hAnsi="Arial" w:cs="Arial"/>
        </w:rPr>
        <w:t>i</w:t>
      </w:r>
      <w:r w:rsidRPr="00F70DD5">
        <w:rPr>
          <w:rFonts w:ascii="Arial" w:hAnsi="Arial" w:cs="Arial"/>
        </w:rPr>
        <w:t xml:space="preserve"> o stavu sběrné sítě je </w:t>
      </w:r>
      <w:r>
        <w:rPr>
          <w:rFonts w:ascii="Arial" w:hAnsi="Arial" w:cs="Arial"/>
        </w:rPr>
        <w:t xml:space="preserve">třeba aktualizovat, správně vykazovat do čtvrtletích výkazů pro EKO-KOM a.s., sjednotit se smlouvou o výpůjčce. </w:t>
      </w:r>
    </w:p>
    <w:p w14:paraId="4C38416A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Na území obce je sbírán textil v režimu předcházení vzniku odpadů do 5 kontejnerů firmy </w:t>
      </w:r>
      <w:proofErr w:type="spellStart"/>
      <w:r>
        <w:rPr>
          <w:rFonts w:ascii="Arial" w:hAnsi="Arial" w:cs="Arial"/>
        </w:rPr>
        <w:t>KlokTex</w:t>
      </w:r>
      <w:proofErr w:type="spellEnd"/>
      <w:r>
        <w:rPr>
          <w:rFonts w:ascii="Arial" w:hAnsi="Arial" w:cs="Arial"/>
        </w:rPr>
        <w:t>. Obec nemá zajištěn sběr textilních odpadů podle zákona.</w:t>
      </w:r>
    </w:p>
    <w:p w14:paraId="25326BEE" w14:textId="34ACDF8E" w:rsidR="002F6D41" w:rsidRPr="007318E8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 w:rsidRPr="007318E8">
        <w:rPr>
          <w:rFonts w:ascii="Arial" w:hAnsi="Arial" w:cs="Arial"/>
        </w:rPr>
        <w:t>Ve sběrném dvoře není zajišťován</w:t>
      </w:r>
      <w:r w:rsidR="009C1CF4">
        <w:rPr>
          <w:rFonts w:ascii="Arial" w:hAnsi="Arial" w:cs="Arial"/>
        </w:rPr>
        <w:t>o</w:t>
      </w:r>
      <w:r w:rsidRPr="007318E8">
        <w:rPr>
          <w:rFonts w:ascii="Arial" w:hAnsi="Arial" w:cs="Arial"/>
        </w:rPr>
        <w:t xml:space="preserve"> dotřídění a sběr dřevěných odpadů. Do sběrného dvora lze odevzdat olej a jedlé tuky, ale sběr není vykazován. </w:t>
      </w:r>
    </w:p>
    <w:p w14:paraId="1A635CEF" w14:textId="77777777" w:rsidR="002F6D41" w:rsidRPr="00A154A6" w:rsidRDefault="002F6D41" w:rsidP="002F6D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ascii="Arial" w:hAnsi="Arial" w:cs="Arial"/>
          <w:u w:val="single"/>
        </w:rPr>
      </w:pPr>
      <w:r w:rsidRPr="00A154A6">
        <w:rPr>
          <w:rFonts w:ascii="Arial" w:hAnsi="Arial" w:cs="Arial"/>
          <w:u w:val="single"/>
        </w:rPr>
        <w:t xml:space="preserve"> Zpětný odběr vybraných výrobků</w:t>
      </w:r>
    </w:p>
    <w:p w14:paraId="70F0FDA2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obec provozuje místa zpětného odběru elektrozařízení na sběrném dvoře a do 5 kontejnerů KS </w:t>
      </w:r>
      <w:proofErr w:type="spellStart"/>
      <w:r>
        <w:rPr>
          <w:rFonts w:ascii="Arial" w:hAnsi="Arial" w:cs="Arial"/>
        </w:rPr>
        <w:t>Asekol</w:t>
      </w:r>
      <w:proofErr w:type="spellEnd"/>
      <w:r>
        <w:rPr>
          <w:rFonts w:ascii="Arial" w:hAnsi="Arial" w:cs="Arial"/>
        </w:rPr>
        <w:t xml:space="preserve"> umístěných po obci.</w:t>
      </w:r>
    </w:p>
    <w:p w14:paraId="683F349F" w14:textId="77777777" w:rsidR="002F6D41" w:rsidRDefault="002F6D41" w:rsidP="002F6D41">
      <w:pPr>
        <w:pStyle w:val="Odstavecseseznamem"/>
        <w:numPr>
          <w:ilvl w:val="1"/>
          <w:numId w:val="1"/>
        </w:numPr>
        <w:spacing w:after="0"/>
        <w:ind w:left="709" w:hanging="283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Obec odebírá na sběrném dvoře pneumatiky v režimu odpadů, byť pro pneumatiky platí povinnost zpětného odběru pro občany bezplatně. V obci a okolí jsou 3 smluvní servisy systému ELTMA. Obec může zřídit místo zpětného odběru na sběrném dvoře ve spolupráci s Green </w:t>
      </w:r>
      <w:proofErr w:type="spellStart"/>
      <w:r>
        <w:rPr>
          <w:rFonts w:ascii="Arial" w:hAnsi="Arial" w:cs="Arial"/>
        </w:rPr>
        <w:t>Logistics</w:t>
      </w:r>
      <w:proofErr w:type="spellEnd"/>
      <w:r>
        <w:rPr>
          <w:rFonts w:ascii="Arial" w:hAnsi="Arial" w:cs="Arial"/>
        </w:rPr>
        <w:t>.</w:t>
      </w:r>
    </w:p>
    <w:p w14:paraId="5BD2B2DE" w14:textId="77777777" w:rsidR="002F6D41" w:rsidRPr="00A154A6" w:rsidRDefault="002F6D41" w:rsidP="002F6D41">
      <w:pPr>
        <w:pStyle w:val="Odstavecseseznamem"/>
        <w:spacing w:after="0"/>
        <w:ind w:left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D24D932" w14:textId="77777777" w:rsidR="002F6D41" w:rsidRDefault="002F6D41" w:rsidP="002F6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Ekonomika odpadového hospodářství obce</w:t>
      </w:r>
    </w:p>
    <w:p w14:paraId="49AD383E" w14:textId="77777777" w:rsidR="002F6D41" w:rsidRDefault="002F6D41" w:rsidP="002F6D41">
      <w:pPr>
        <w:pStyle w:val="Odstavecseseznamem"/>
        <w:numPr>
          <w:ilvl w:val="0"/>
          <w:numId w:val="2"/>
        </w:numPr>
        <w:spacing w:after="120" w:line="259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Celkové náklady v Kč/obyvatel v obci jsou téměř dvojnásobné, než je tomu v případě srovnatelných obcí a ČR, a rovněž výrazně vyšší než u obcí Středočeského kraje.</w:t>
      </w:r>
    </w:p>
    <w:tbl>
      <w:tblPr>
        <w:tblW w:w="7782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914"/>
        <w:gridCol w:w="1639"/>
        <w:gridCol w:w="1778"/>
        <w:gridCol w:w="1363"/>
      </w:tblGrid>
      <w:tr w:rsidR="002F6D41" w:rsidRPr="006F2603" w14:paraId="5DFAD483" w14:textId="77777777" w:rsidTr="00AE5155">
        <w:trPr>
          <w:trHeight w:val="269"/>
        </w:trPr>
        <w:tc>
          <w:tcPr>
            <w:tcW w:w="1088" w:type="dxa"/>
            <w:shd w:val="clear" w:color="auto" w:fill="B4C6E7" w:themeFill="accent1" w:themeFillTint="66"/>
            <w:noWrap/>
            <w:vAlign w:val="center"/>
            <w:hideMark/>
          </w:tcPr>
          <w:p w14:paraId="15537DA4" w14:textId="77777777" w:rsidR="002F6D41" w:rsidRPr="00973964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97396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914" w:type="dxa"/>
            <w:shd w:val="clear" w:color="auto" w:fill="B4C6E7" w:themeFill="accent1" w:themeFillTint="66"/>
            <w:noWrap/>
            <w:vAlign w:val="center"/>
            <w:hideMark/>
          </w:tcPr>
          <w:p w14:paraId="3F07AB42" w14:textId="77777777" w:rsidR="002F6D41" w:rsidRPr="00973964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Psáry</w:t>
            </w:r>
          </w:p>
        </w:tc>
        <w:tc>
          <w:tcPr>
            <w:tcW w:w="1639" w:type="dxa"/>
            <w:shd w:val="clear" w:color="auto" w:fill="B4C6E7" w:themeFill="accent1" w:themeFillTint="66"/>
            <w:noWrap/>
            <w:vAlign w:val="center"/>
            <w:hideMark/>
          </w:tcPr>
          <w:p w14:paraId="2441E309" w14:textId="77777777" w:rsidR="002F6D41" w:rsidRPr="00973964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4-10 tis. obyv.</w:t>
            </w:r>
          </w:p>
        </w:tc>
        <w:tc>
          <w:tcPr>
            <w:tcW w:w="1778" w:type="dxa"/>
            <w:shd w:val="clear" w:color="auto" w:fill="B4C6E7" w:themeFill="accent1" w:themeFillTint="66"/>
            <w:vAlign w:val="center"/>
            <w:hideMark/>
          </w:tcPr>
          <w:p w14:paraId="0EAFA4DE" w14:textId="77777777" w:rsidR="002F6D41" w:rsidRPr="00973964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1363" w:type="dxa"/>
            <w:shd w:val="clear" w:color="auto" w:fill="B4C6E7" w:themeFill="accent1" w:themeFillTint="66"/>
            <w:vAlign w:val="center"/>
            <w:hideMark/>
          </w:tcPr>
          <w:p w14:paraId="03548EE7" w14:textId="77777777" w:rsidR="002F6D41" w:rsidRPr="00973964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ČR</w:t>
            </w:r>
          </w:p>
        </w:tc>
      </w:tr>
      <w:tr w:rsidR="002F6D41" w:rsidRPr="006F2603" w14:paraId="218A3A5C" w14:textId="77777777" w:rsidTr="00AE5155">
        <w:trPr>
          <w:trHeight w:val="253"/>
        </w:trPr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AB77FF4" w14:textId="77777777" w:rsidR="002F6D41" w:rsidRPr="006F2603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F2603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CB4A6BA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2 096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96D2DC5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1 048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1C81D6AE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1 247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3C158B35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1 032</w:t>
            </w:r>
          </w:p>
        </w:tc>
      </w:tr>
      <w:tr w:rsidR="002F6D41" w:rsidRPr="006F2603" w14:paraId="75FA2426" w14:textId="77777777" w:rsidTr="00AE5155">
        <w:trPr>
          <w:trHeight w:val="253"/>
        </w:trPr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EEDA78C" w14:textId="77777777" w:rsidR="002F6D41" w:rsidRPr="006F2603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F2603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E4194AF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2 164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4F1A37E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1 129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4519C8CD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1 245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9394AE0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1 064</w:t>
            </w:r>
          </w:p>
        </w:tc>
      </w:tr>
      <w:tr w:rsidR="002F6D41" w:rsidRPr="006F2603" w14:paraId="166A9CB7" w14:textId="77777777" w:rsidTr="00AE5155">
        <w:trPr>
          <w:trHeight w:val="253"/>
        </w:trPr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849CF87" w14:textId="77777777" w:rsidR="002F6D41" w:rsidRPr="006F2603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F2603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2AB1C1F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2 272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962C64C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1 237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3D5E472C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4DD3C99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</w:tr>
      <w:tr w:rsidR="002F6D41" w:rsidRPr="006F2603" w14:paraId="392C40F2" w14:textId="77777777" w:rsidTr="00AE5155">
        <w:trPr>
          <w:trHeight w:val="253"/>
        </w:trPr>
        <w:tc>
          <w:tcPr>
            <w:tcW w:w="1088" w:type="dxa"/>
            <w:shd w:val="clear" w:color="auto" w:fill="auto"/>
            <w:noWrap/>
            <w:vAlign w:val="center"/>
          </w:tcPr>
          <w:p w14:paraId="130AD7DF" w14:textId="77777777" w:rsidR="002F6D41" w:rsidRPr="006F2603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F260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2208531D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2 514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346955DB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14:paraId="480F6FA0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1 541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133A2864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1 319</w:t>
            </w:r>
          </w:p>
        </w:tc>
      </w:tr>
      <w:tr w:rsidR="002F6D41" w:rsidRPr="006F2603" w14:paraId="7FB1BE7B" w14:textId="77777777" w:rsidTr="00AE5155">
        <w:trPr>
          <w:trHeight w:val="253"/>
        </w:trPr>
        <w:tc>
          <w:tcPr>
            <w:tcW w:w="1088" w:type="dxa"/>
            <w:shd w:val="clear" w:color="auto" w:fill="auto"/>
            <w:noWrap/>
            <w:vAlign w:val="center"/>
          </w:tcPr>
          <w:p w14:paraId="71C45BBA" w14:textId="77777777" w:rsidR="002F6D41" w:rsidRPr="006F2603" w:rsidRDefault="002F6D41" w:rsidP="00AE51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14:paraId="14FFEA48" w14:textId="77777777" w:rsidR="002F6D41" w:rsidRPr="00DC3D54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D54">
              <w:rPr>
                <w:rFonts w:ascii="Arial" w:hAnsi="Arial" w:cs="Arial"/>
                <w:color w:val="000000"/>
                <w:sz w:val="20"/>
                <w:szCs w:val="20"/>
              </w:rPr>
              <w:t>2 753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38CB7B70" w14:textId="77777777" w:rsidR="002F6D41" w:rsidRPr="00DC3D54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D54">
              <w:rPr>
                <w:rFonts w:ascii="Arial" w:hAnsi="Arial" w:cs="Arial"/>
                <w:color w:val="000000"/>
                <w:sz w:val="20"/>
                <w:szCs w:val="20"/>
              </w:rPr>
              <w:t>1 441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14:paraId="714B42C3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1 758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6F4D3330" w14:textId="77777777" w:rsidR="002F6D41" w:rsidRPr="006F2603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1 454</w:t>
            </w:r>
          </w:p>
        </w:tc>
      </w:tr>
    </w:tbl>
    <w:p w14:paraId="60E5733C" w14:textId="77777777" w:rsidR="002F6D41" w:rsidRDefault="002F6D41" w:rsidP="002F6D41">
      <w:pPr>
        <w:shd w:val="clear" w:color="auto" w:fill="FFFFFF" w:themeFill="background1"/>
        <w:spacing w:after="0"/>
        <w:contextualSpacing/>
        <w:jc w:val="both"/>
        <w:rPr>
          <w:rFonts w:ascii="Arial" w:hAnsi="Arial" w:cs="Arial"/>
        </w:rPr>
      </w:pPr>
    </w:p>
    <w:p w14:paraId="5D82BD0E" w14:textId="77777777" w:rsidR="002F6D41" w:rsidRDefault="002F6D41" w:rsidP="002F6D41">
      <w:pPr>
        <w:numPr>
          <w:ilvl w:val="0"/>
          <w:numId w:val="2"/>
        </w:numPr>
        <w:shd w:val="clear" w:color="auto" w:fill="FFFFFF" w:themeFill="background1"/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má ve </w:t>
      </w:r>
      <w:r w:rsidRPr="008B6145">
        <w:rPr>
          <w:rFonts w:ascii="Arial" w:hAnsi="Arial" w:cs="Arial"/>
        </w:rPr>
        <w:t>srovnání s</w:t>
      </w:r>
      <w:r>
        <w:rPr>
          <w:rFonts w:ascii="Arial" w:hAnsi="Arial" w:cs="Arial"/>
        </w:rPr>
        <w:t>e srovnávacími skupinami nejvyšší náklady na nakládání se směsným KO (sběr, svoz, přeprava, skládkování) v přepočtu v Kč/obyvatele a stejně tak v Kč/t.</w:t>
      </w:r>
      <w:r w:rsidRPr="00617019">
        <w:rPr>
          <w:rFonts w:ascii="Arial" w:hAnsi="Arial" w:cs="Arial"/>
        </w:rPr>
        <w:t xml:space="preserve"> </w:t>
      </w:r>
    </w:p>
    <w:tbl>
      <w:tblPr>
        <w:tblW w:w="62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658"/>
        <w:gridCol w:w="1241"/>
        <w:gridCol w:w="1220"/>
      </w:tblGrid>
      <w:tr w:rsidR="002F6D41" w:rsidRPr="000209E4" w14:paraId="1ECA6177" w14:textId="77777777" w:rsidTr="00AE5155">
        <w:trPr>
          <w:trHeight w:val="315"/>
        </w:trPr>
        <w:tc>
          <w:tcPr>
            <w:tcW w:w="6240" w:type="dxa"/>
            <w:gridSpan w:val="4"/>
            <w:shd w:val="clear" w:color="auto" w:fill="auto"/>
            <w:vAlign w:val="center"/>
          </w:tcPr>
          <w:p w14:paraId="7B9BB061" w14:textId="77777777" w:rsidR="002F6D41" w:rsidRPr="000209E4" w:rsidRDefault="002F6D41" w:rsidP="00AE515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09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2023</w:t>
            </w:r>
          </w:p>
        </w:tc>
      </w:tr>
      <w:tr w:rsidR="002F6D41" w:rsidRPr="009C0945" w14:paraId="529B73CC" w14:textId="77777777" w:rsidTr="00AE5155">
        <w:trPr>
          <w:trHeight w:val="315"/>
        </w:trPr>
        <w:tc>
          <w:tcPr>
            <w:tcW w:w="2121" w:type="dxa"/>
            <w:shd w:val="clear" w:color="auto" w:fill="auto"/>
            <w:vAlign w:val="center"/>
          </w:tcPr>
          <w:p w14:paraId="5509DF2E" w14:textId="77777777" w:rsidR="002F6D41" w:rsidRDefault="002F6D41" w:rsidP="00AE5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76C3D674" w14:textId="77777777" w:rsidR="002F6D41" w:rsidRDefault="002F6D41" w:rsidP="00AE51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Kč/obyvatel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2070BD0" w14:textId="77777777" w:rsidR="002F6D41" w:rsidRDefault="002F6D41" w:rsidP="00AE51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Kg/obyvatel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35D0526" w14:textId="77777777" w:rsidR="002F6D41" w:rsidRDefault="002F6D41" w:rsidP="00AE51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Kč/t</w:t>
            </w:r>
          </w:p>
        </w:tc>
      </w:tr>
      <w:tr w:rsidR="002F6D41" w:rsidRPr="009C0945" w14:paraId="2FCEA7DA" w14:textId="77777777" w:rsidTr="00AE5155">
        <w:trPr>
          <w:trHeight w:val="315"/>
        </w:trPr>
        <w:tc>
          <w:tcPr>
            <w:tcW w:w="2121" w:type="dxa"/>
            <w:shd w:val="clear" w:color="auto" w:fill="F7CAAC" w:themeFill="accent2" w:themeFillTint="66"/>
            <w:vAlign w:val="center"/>
          </w:tcPr>
          <w:p w14:paraId="30B62FA7" w14:textId="77777777" w:rsidR="002F6D41" w:rsidRPr="009C0945" w:rsidRDefault="002F6D41" w:rsidP="00AE5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Psáry</w:t>
            </w:r>
          </w:p>
        </w:tc>
        <w:tc>
          <w:tcPr>
            <w:tcW w:w="1658" w:type="dxa"/>
            <w:shd w:val="clear" w:color="auto" w:fill="F7CAAC" w:themeFill="accent2" w:themeFillTint="66"/>
            <w:noWrap/>
            <w:vAlign w:val="center"/>
          </w:tcPr>
          <w:p w14:paraId="584EEBA3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241" w:type="dxa"/>
            <w:shd w:val="clear" w:color="auto" w:fill="F7CAAC" w:themeFill="accent2" w:themeFillTint="66"/>
            <w:noWrap/>
            <w:vAlign w:val="center"/>
          </w:tcPr>
          <w:p w14:paraId="66B2C17A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220" w:type="dxa"/>
            <w:shd w:val="clear" w:color="auto" w:fill="F7CAAC" w:themeFill="accent2" w:themeFillTint="66"/>
            <w:noWrap/>
            <w:vAlign w:val="center"/>
          </w:tcPr>
          <w:p w14:paraId="72B5496C" w14:textId="77777777" w:rsidR="002F6D41" w:rsidRPr="00CC611B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611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6 838</w:t>
            </w:r>
          </w:p>
        </w:tc>
      </w:tr>
      <w:tr w:rsidR="002F6D41" w:rsidRPr="009C0945" w14:paraId="03E30FBB" w14:textId="77777777" w:rsidTr="00AE5155">
        <w:trPr>
          <w:trHeight w:val="315"/>
        </w:trPr>
        <w:tc>
          <w:tcPr>
            <w:tcW w:w="2121" w:type="dxa"/>
            <w:shd w:val="clear" w:color="auto" w:fill="auto"/>
            <w:vAlign w:val="center"/>
          </w:tcPr>
          <w:p w14:paraId="260A142A" w14:textId="77777777" w:rsidR="002F6D41" w:rsidRPr="009C0945" w:rsidRDefault="002F6D41" w:rsidP="00AE5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Vel. skupina 4-10 tis. obyv.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BB44B0C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B0099C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26DA86C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3 639</w:t>
            </w:r>
          </w:p>
        </w:tc>
      </w:tr>
      <w:tr w:rsidR="002F6D41" w:rsidRPr="009C0945" w14:paraId="0DD60348" w14:textId="77777777" w:rsidTr="00AE5155">
        <w:trPr>
          <w:trHeight w:val="315"/>
        </w:trPr>
        <w:tc>
          <w:tcPr>
            <w:tcW w:w="2121" w:type="dxa"/>
            <w:shd w:val="clear" w:color="auto" w:fill="auto"/>
            <w:vAlign w:val="center"/>
          </w:tcPr>
          <w:p w14:paraId="38DF19E7" w14:textId="77777777" w:rsidR="002F6D41" w:rsidRPr="009C0945" w:rsidRDefault="002F6D41" w:rsidP="00AE5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1F189C2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A3EC553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524BF92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4 043</w:t>
            </w:r>
          </w:p>
        </w:tc>
      </w:tr>
      <w:tr w:rsidR="002F6D41" w:rsidRPr="009C0945" w14:paraId="74A61284" w14:textId="77777777" w:rsidTr="00AE5155">
        <w:trPr>
          <w:trHeight w:val="315"/>
        </w:trPr>
        <w:tc>
          <w:tcPr>
            <w:tcW w:w="2121" w:type="dxa"/>
            <w:shd w:val="clear" w:color="auto" w:fill="auto"/>
            <w:vAlign w:val="center"/>
          </w:tcPr>
          <w:p w14:paraId="6648A052" w14:textId="77777777" w:rsidR="002F6D41" w:rsidRPr="009C0945" w:rsidRDefault="002F6D41" w:rsidP="00AE51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0B3B485A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C536102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5BD9266" w14:textId="77777777" w:rsidR="002F6D41" w:rsidRPr="009C0945" w:rsidRDefault="002F6D41" w:rsidP="00AE5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3 889</w:t>
            </w:r>
          </w:p>
        </w:tc>
      </w:tr>
    </w:tbl>
    <w:p w14:paraId="22214C63" w14:textId="77777777" w:rsidR="002F6D41" w:rsidRPr="00FA54A7" w:rsidRDefault="002F6D41" w:rsidP="002F6D41">
      <w:pPr>
        <w:shd w:val="clear" w:color="auto" w:fill="FFFFFF" w:themeFill="background1"/>
        <w:spacing w:after="0"/>
        <w:ind w:left="360"/>
        <w:contextualSpacing/>
        <w:jc w:val="both"/>
        <w:rPr>
          <w:rFonts w:ascii="Arial" w:hAnsi="Arial" w:cs="Arial"/>
        </w:rPr>
      </w:pPr>
    </w:p>
    <w:p w14:paraId="727C444F" w14:textId="77777777" w:rsidR="002F6D41" w:rsidRDefault="002F6D41" w:rsidP="002F6D4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 Psáry má v</w:t>
      </w:r>
      <w:r w:rsidRPr="000C30EC">
        <w:rPr>
          <w:rFonts w:ascii="Arial" w:hAnsi="Arial" w:cs="Arial"/>
        </w:rPr>
        <w:t xml:space="preserve">e srovnání s průměrnými </w:t>
      </w:r>
      <w:r>
        <w:rPr>
          <w:rFonts w:ascii="Arial" w:hAnsi="Arial" w:cs="Arial"/>
        </w:rPr>
        <w:t>náklady ve srovnávacích skupinách velmi vysoké náklady na tříděný sběr papíru a plastů.</w:t>
      </w: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134"/>
        <w:gridCol w:w="992"/>
        <w:gridCol w:w="992"/>
        <w:gridCol w:w="993"/>
      </w:tblGrid>
      <w:tr w:rsidR="002F6D41" w:rsidRPr="000775E5" w14:paraId="10C6C6EA" w14:textId="77777777" w:rsidTr="00AE5155">
        <w:trPr>
          <w:trHeight w:val="300"/>
        </w:trPr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24557C71" w14:textId="77777777" w:rsidR="002F6D41" w:rsidRPr="000775E5" w:rsidRDefault="002F6D41" w:rsidP="00AE5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Rok 2023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</w:tcPr>
          <w:p w14:paraId="7E93CAB2" w14:textId="77777777" w:rsidR="002F6D41" w:rsidRPr="000775E5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Papír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14:paraId="06D41218" w14:textId="77777777" w:rsidR="002F6D41" w:rsidRPr="000775E5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Plasty</w:t>
            </w:r>
          </w:p>
        </w:tc>
      </w:tr>
      <w:tr w:rsidR="002F6D41" w:rsidRPr="000775E5" w14:paraId="68B7739E" w14:textId="77777777" w:rsidTr="00AE5155">
        <w:trPr>
          <w:trHeight w:val="300"/>
        </w:trPr>
        <w:tc>
          <w:tcPr>
            <w:tcW w:w="2693" w:type="dxa"/>
            <w:vMerge/>
            <w:shd w:val="clear" w:color="auto" w:fill="auto"/>
            <w:noWrap/>
            <w:vAlign w:val="center"/>
          </w:tcPr>
          <w:p w14:paraId="34C9A838" w14:textId="77777777" w:rsidR="002F6D41" w:rsidRPr="000775E5" w:rsidRDefault="002F6D41" w:rsidP="00AE5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74270" w14:textId="77777777" w:rsidR="002F6D41" w:rsidRPr="009A11ED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  <w14:ligatures w14:val="none"/>
              </w:rPr>
            </w:pPr>
            <w:r w:rsidRPr="009A11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  <w14:ligatures w14:val="none"/>
              </w:rPr>
              <w:t>Kč/t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CC9136" w14:textId="77777777" w:rsidR="002F6D41" w:rsidRPr="009A11ED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  <w14:ligatures w14:val="none"/>
              </w:rPr>
              <w:t>k</w:t>
            </w:r>
            <w:r w:rsidRPr="009A11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  <w14:ligatures w14:val="none"/>
              </w:rPr>
              <w:t>g/obyv.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EBAC3F" w14:textId="77777777" w:rsidR="002F6D41" w:rsidRPr="009A11ED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  <w14:ligatures w14:val="none"/>
              </w:rPr>
            </w:pPr>
            <w:r w:rsidRPr="009A11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  <w14:ligatures w14:val="none"/>
              </w:rPr>
              <w:t>Kč/t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3BA862" w14:textId="77777777" w:rsidR="002F6D41" w:rsidRPr="000775E5" w:rsidRDefault="002F6D41" w:rsidP="00AE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kg/obyv.</w:t>
            </w:r>
          </w:p>
        </w:tc>
      </w:tr>
      <w:tr w:rsidR="002F6D41" w:rsidRPr="000775E5" w14:paraId="437F0643" w14:textId="77777777" w:rsidTr="00AE5155">
        <w:trPr>
          <w:trHeight w:val="300"/>
        </w:trPr>
        <w:tc>
          <w:tcPr>
            <w:tcW w:w="2693" w:type="dxa"/>
            <w:shd w:val="clear" w:color="auto" w:fill="F7CAAC" w:themeFill="accent2" w:themeFillTint="66"/>
            <w:noWrap/>
            <w:vAlign w:val="center"/>
            <w:hideMark/>
          </w:tcPr>
          <w:p w14:paraId="60DB6132" w14:textId="77777777" w:rsidR="002F6D41" w:rsidRPr="000775E5" w:rsidRDefault="002F6D41" w:rsidP="00AE5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Psáry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bottom"/>
            <w:hideMark/>
          </w:tcPr>
          <w:p w14:paraId="5B2C9693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cs-CZ"/>
                <w14:ligatures w14:val="none"/>
              </w:rPr>
              <w:t>11 507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bottom"/>
            <w:hideMark/>
          </w:tcPr>
          <w:p w14:paraId="58997651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29,2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bottom"/>
            <w:hideMark/>
          </w:tcPr>
          <w:p w14:paraId="125CF75E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cs-CZ"/>
                <w14:ligatures w14:val="none"/>
              </w:rPr>
              <w:t>17 438</w:t>
            </w:r>
          </w:p>
        </w:tc>
        <w:tc>
          <w:tcPr>
            <w:tcW w:w="993" w:type="dxa"/>
            <w:shd w:val="clear" w:color="auto" w:fill="F7CAAC" w:themeFill="accent2" w:themeFillTint="66"/>
            <w:noWrap/>
            <w:vAlign w:val="bottom"/>
            <w:hideMark/>
          </w:tcPr>
          <w:p w14:paraId="138A80E1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25,6</w:t>
            </w:r>
          </w:p>
        </w:tc>
      </w:tr>
      <w:tr w:rsidR="002F6D41" w:rsidRPr="000775E5" w14:paraId="00C348C9" w14:textId="77777777" w:rsidTr="00AE5155">
        <w:trPr>
          <w:trHeight w:val="30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201FF6" w14:textId="77777777" w:rsidR="002F6D41" w:rsidRPr="000775E5" w:rsidRDefault="002F6D41" w:rsidP="00AE5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Vel. skupina 4-10 tis. obyv.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772897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6 139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5CE505" w14:textId="77777777" w:rsidR="002F6D41" w:rsidRPr="000775E5" w:rsidRDefault="002F6D41" w:rsidP="00AE515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21,1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AEB8C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9 788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BB47EE" w14:textId="77777777" w:rsidR="002F6D41" w:rsidRPr="000775E5" w:rsidRDefault="002F6D41" w:rsidP="00AE515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19,5</w:t>
            </w:r>
          </w:p>
        </w:tc>
      </w:tr>
      <w:tr w:rsidR="002F6D41" w:rsidRPr="000775E5" w14:paraId="22E3F85A" w14:textId="77777777" w:rsidTr="00AE5155">
        <w:trPr>
          <w:trHeight w:val="30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CBF9E5" w14:textId="77777777" w:rsidR="002F6D41" w:rsidRPr="000775E5" w:rsidRDefault="002F6D41" w:rsidP="00AE5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Středočeský kraj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EACD8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7 990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79B9ED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22,6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DEA2AC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12 072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1377B3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21,0</w:t>
            </w:r>
          </w:p>
        </w:tc>
      </w:tr>
      <w:tr w:rsidR="002F6D41" w:rsidRPr="000775E5" w14:paraId="64A70EC6" w14:textId="77777777" w:rsidTr="00AE5155">
        <w:trPr>
          <w:trHeight w:val="357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BB64DF" w14:textId="77777777" w:rsidR="002F6D41" w:rsidRPr="000775E5" w:rsidRDefault="002F6D41" w:rsidP="00AE5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ČR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198021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6 612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51F8B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8021F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10 156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662505" w14:textId="77777777" w:rsidR="002F6D41" w:rsidRPr="000775E5" w:rsidRDefault="002F6D41" w:rsidP="00AE5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77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>17,1</w:t>
            </w:r>
          </w:p>
        </w:tc>
      </w:tr>
    </w:tbl>
    <w:p w14:paraId="77EEB996" w14:textId="77777777" w:rsidR="002F6D41" w:rsidRDefault="002F6D41" w:rsidP="002F6D41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1C52B2C5" w14:textId="77777777" w:rsidR="002F6D41" w:rsidRPr="009A11ED" w:rsidRDefault="002F6D41" w:rsidP="002F6D4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má také vysoké náklady na objemné odpady (4182 Kč/t v obci </w:t>
      </w:r>
      <w:proofErr w:type="spellStart"/>
      <w:r>
        <w:rPr>
          <w:rFonts w:ascii="Arial" w:hAnsi="Arial" w:cs="Arial"/>
        </w:rPr>
        <w:t>vers</w:t>
      </w:r>
      <w:proofErr w:type="spellEnd"/>
      <w:r>
        <w:rPr>
          <w:rFonts w:ascii="Arial" w:hAnsi="Arial" w:cs="Arial"/>
        </w:rPr>
        <w:t>. 2580 Kč/t ve Středočeském kraji v r. 2023).</w:t>
      </w:r>
    </w:p>
    <w:p w14:paraId="2BA0EC09" w14:textId="77777777" w:rsidR="002F6D41" w:rsidRPr="009C08BC" w:rsidRDefault="002F6D41" w:rsidP="002F6D4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C08BC">
        <w:rPr>
          <w:rFonts w:ascii="Arial" w:hAnsi="Arial" w:cs="Arial"/>
        </w:rPr>
        <w:t xml:space="preserve">Bilance příjmů a nákladů </w:t>
      </w:r>
      <w:r>
        <w:rPr>
          <w:rFonts w:ascii="Arial" w:hAnsi="Arial" w:cs="Arial"/>
        </w:rPr>
        <w:t>obce</w:t>
      </w:r>
      <w:r w:rsidRPr="009C08BC">
        <w:rPr>
          <w:rFonts w:ascii="Arial" w:hAnsi="Arial" w:cs="Arial"/>
        </w:rPr>
        <w:t xml:space="preserve"> je záporná, náklady </w:t>
      </w:r>
      <w:r>
        <w:rPr>
          <w:rFonts w:ascii="Arial" w:hAnsi="Arial" w:cs="Arial"/>
        </w:rPr>
        <w:t>obce</w:t>
      </w:r>
      <w:r w:rsidRPr="009C08BC">
        <w:rPr>
          <w:rFonts w:ascii="Arial" w:hAnsi="Arial" w:cs="Arial"/>
        </w:rPr>
        <w:t xml:space="preserve"> na odpadové hospodářství se v roce 202</w:t>
      </w:r>
      <w:r>
        <w:rPr>
          <w:rFonts w:ascii="Arial" w:hAnsi="Arial" w:cs="Arial"/>
        </w:rPr>
        <w:t>4</w:t>
      </w:r>
      <w:r w:rsidRPr="009C08BC">
        <w:rPr>
          <w:rFonts w:ascii="Arial" w:hAnsi="Arial" w:cs="Arial"/>
        </w:rPr>
        <w:t xml:space="preserve"> pohybovaly kolem </w:t>
      </w:r>
      <w:r>
        <w:rPr>
          <w:rFonts w:ascii="Arial" w:hAnsi="Arial" w:cs="Arial"/>
        </w:rPr>
        <w:t>12,5</w:t>
      </w:r>
      <w:r w:rsidRPr="009C08BC">
        <w:rPr>
          <w:rFonts w:ascii="Arial" w:hAnsi="Arial" w:cs="Arial"/>
        </w:rPr>
        <w:t xml:space="preserve"> mil. Kč, příjmy byly okolo </w:t>
      </w:r>
      <w:r>
        <w:rPr>
          <w:rFonts w:ascii="Arial" w:hAnsi="Arial" w:cs="Arial"/>
        </w:rPr>
        <w:t>6,6</w:t>
      </w:r>
      <w:r w:rsidRPr="009C08BC">
        <w:rPr>
          <w:rFonts w:ascii="Arial" w:hAnsi="Arial" w:cs="Arial"/>
        </w:rPr>
        <w:t xml:space="preserve"> mil. Kč. </w:t>
      </w:r>
    </w:p>
    <w:p w14:paraId="578BDF26" w14:textId="77777777" w:rsidR="002F6D41" w:rsidRDefault="002F6D41" w:rsidP="002F6D4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C08BC">
        <w:rPr>
          <w:rFonts w:ascii="Arial" w:hAnsi="Arial" w:cs="Arial"/>
        </w:rPr>
        <w:t>Příjmový deficit v bilanci odpadového hospodářství je</w:t>
      </w:r>
      <w:r>
        <w:rPr>
          <w:rFonts w:ascii="Arial" w:hAnsi="Arial" w:cs="Arial"/>
        </w:rPr>
        <w:t xml:space="preserve"> cca</w:t>
      </w:r>
      <w:r w:rsidRPr="009C08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5,9</w:t>
      </w:r>
      <w:r w:rsidRPr="009C08BC">
        <w:rPr>
          <w:rFonts w:ascii="Arial" w:hAnsi="Arial" w:cs="Arial"/>
        </w:rPr>
        <w:t xml:space="preserve"> mil. Kč, což je průměrně </w:t>
      </w:r>
      <w:r>
        <w:rPr>
          <w:rFonts w:ascii="Arial" w:hAnsi="Arial" w:cs="Arial"/>
        </w:rPr>
        <w:t>1387</w:t>
      </w:r>
      <w:r w:rsidRPr="009C08BC">
        <w:rPr>
          <w:rFonts w:ascii="Arial" w:hAnsi="Arial" w:cs="Arial"/>
        </w:rPr>
        <w:t xml:space="preserve"> Kč na obyvatele. </w:t>
      </w:r>
      <w:r>
        <w:rPr>
          <w:rFonts w:ascii="Arial" w:hAnsi="Arial" w:cs="Arial"/>
        </w:rPr>
        <w:t>Obec</w:t>
      </w:r>
      <w:r w:rsidRPr="009C08BC">
        <w:rPr>
          <w:rFonts w:ascii="Arial" w:hAnsi="Arial" w:cs="Arial"/>
        </w:rPr>
        <w:t xml:space="preserve"> v r. 202</w:t>
      </w:r>
      <w:r>
        <w:rPr>
          <w:rFonts w:ascii="Arial" w:hAnsi="Arial" w:cs="Arial"/>
        </w:rPr>
        <w:t>4</w:t>
      </w:r>
      <w:r w:rsidRPr="009C08BC">
        <w:rPr>
          <w:rFonts w:ascii="Arial" w:hAnsi="Arial" w:cs="Arial"/>
        </w:rPr>
        <w:t xml:space="preserve"> doplácel</w:t>
      </w:r>
      <w:r>
        <w:rPr>
          <w:rFonts w:ascii="Arial" w:hAnsi="Arial" w:cs="Arial"/>
        </w:rPr>
        <w:t>a</w:t>
      </w:r>
      <w:r w:rsidRPr="009C08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</w:t>
      </w:r>
      <w:r w:rsidRPr="009C08BC">
        <w:rPr>
          <w:rFonts w:ascii="Arial" w:hAnsi="Arial" w:cs="Arial"/>
        </w:rPr>
        <w:t xml:space="preserve"> % nákladů na OH ze svého rozpočtu.</w:t>
      </w:r>
      <w:r>
        <w:rPr>
          <w:rFonts w:ascii="Arial" w:hAnsi="Arial" w:cs="Arial"/>
        </w:rPr>
        <w:t xml:space="preserve"> Poplatek od obyvatel pokrývá cca 42 % nákladů obce (r. 2024).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993"/>
        <w:gridCol w:w="1134"/>
        <w:gridCol w:w="1134"/>
        <w:gridCol w:w="1134"/>
      </w:tblGrid>
      <w:tr w:rsidR="002F6D41" w:rsidRPr="003A2270" w14:paraId="3C82FBFD" w14:textId="77777777" w:rsidTr="00AE5155">
        <w:trPr>
          <w:trHeight w:val="315"/>
        </w:trPr>
        <w:tc>
          <w:tcPr>
            <w:tcW w:w="2126" w:type="dxa"/>
            <w:shd w:val="clear" w:color="auto" w:fill="B4C6E7" w:themeFill="accent1" w:themeFillTint="66"/>
            <w:noWrap/>
            <w:vAlign w:val="center"/>
            <w:hideMark/>
          </w:tcPr>
          <w:p w14:paraId="2BFC9264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B4C6E7" w:themeFill="accent1" w:themeFillTint="66"/>
            <w:noWrap/>
            <w:vAlign w:val="center"/>
          </w:tcPr>
          <w:p w14:paraId="1388DB26" w14:textId="77777777" w:rsidR="002F6D41" w:rsidRPr="003A2270" w:rsidRDefault="002F6D41" w:rsidP="00AE5155">
            <w:pPr>
              <w:spacing w:after="0" w:line="240" w:lineRule="auto"/>
              <w:ind w:left="-493" w:firstLine="49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B4C6E7" w:themeFill="accent1" w:themeFillTint="66"/>
            <w:noWrap/>
            <w:vAlign w:val="center"/>
          </w:tcPr>
          <w:p w14:paraId="044C0BF6" w14:textId="77777777" w:rsidR="002F6D41" w:rsidRPr="003A2270" w:rsidRDefault="002F6D41" w:rsidP="00AE5155">
            <w:pPr>
              <w:spacing w:after="0" w:line="240" w:lineRule="auto"/>
              <w:ind w:left="-493" w:firstLine="49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vAlign w:val="center"/>
          </w:tcPr>
          <w:p w14:paraId="747396F5" w14:textId="77777777" w:rsidR="002F6D41" w:rsidRPr="003A2270" w:rsidRDefault="002F6D41" w:rsidP="00AE5155">
            <w:pPr>
              <w:spacing w:after="0" w:line="240" w:lineRule="auto"/>
              <w:ind w:left="-493" w:firstLine="49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B4C6E7" w:themeFill="accent1" w:themeFillTint="66"/>
            <w:noWrap/>
            <w:vAlign w:val="center"/>
          </w:tcPr>
          <w:p w14:paraId="117336DC" w14:textId="77777777" w:rsidR="002F6D41" w:rsidRPr="003A2270" w:rsidRDefault="002F6D41" w:rsidP="00AE5155">
            <w:pPr>
              <w:spacing w:after="0" w:line="240" w:lineRule="auto"/>
              <w:ind w:left="-493" w:firstLine="49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C0C4129" w14:textId="77777777" w:rsidR="002F6D41" w:rsidRPr="003A2270" w:rsidRDefault="002F6D41" w:rsidP="00AE5155">
            <w:pPr>
              <w:spacing w:after="0" w:line="240" w:lineRule="auto"/>
              <w:ind w:left="-493" w:firstLine="49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D2C6DF4" w14:textId="77777777" w:rsidR="002F6D41" w:rsidRPr="003A2270" w:rsidRDefault="002F6D41" w:rsidP="00AE5155">
            <w:pPr>
              <w:spacing w:after="0" w:line="240" w:lineRule="auto"/>
              <w:ind w:left="-493" w:firstLine="4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2F6D41" w:rsidRPr="003A2270" w14:paraId="1DD8F900" w14:textId="77777777" w:rsidTr="00AE5155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09E44B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náklady v Kč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7BA61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8 327 903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0610BA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8 792 842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BC8237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9 438 385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C5F3B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10 345 679</w:t>
            </w:r>
          </w:p>
        </w:tc>
        <w:tc>
          <w:tcPr>
            <w:tcW w:w="1134" w:type="dxa"/>
            <w:vAlign w:val="center"/>
          </w:tcPr>
          <w:p w14:paraId="463E3FD0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11 493 313</w:t>
            </w:r>
          </w:p>
        </w:tc>
        <w:tc>
          <w:tcPr>
            <w:tcW w:w="1134" w:type="dxa"/>
            <w:vAlign w:val="bottom"/>
          </w:tcPr>
          <w:p w14:paraId="5D22DF2F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6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F0068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F0068">
              <w:rPr>
                <w:rFonts w:ascii="Arial" w:hAnsi="Arial" w:cs="Arial"/>
                <w:color w:val="000000"/>
                <w:sz w:val="18"/>
                <w:szCs w:val="18"/>
              </w:rPr>
              <w:t>061</w:t>
            </w:r>
          </w:p>
        </w:tc>
      </w:tr>
      <w:tr w:rsidR="002F6D41" w:rsidRPr="003A2270" w14:paraId="638508B2" w14:textId="77777777" w:rsidTr="00AE5155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D53032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   Kč/obyvatel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A6B4AC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6E0166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389ADF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A1761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1134" w:type="dxa"/>
            <w:vAlign w:val="center"/>
          </w:tcPr>
          <w:p w14:paraId="657FD12F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2753</w:t>
            </w:r>
          </w:p>
        </w:tc>
        <w:tc>
          <w:tcPr>
            <w:tcW w:w="1134" w:type="dxa"/>
            <w:vAlign w:val="center"/>
          </w:tcPr>
          <w:p w14:paraId="7388D5F5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2954</w:t>
            </w:r>
          </w:p>
        </w:tc>
      </w:tr>
      <w:tr w:rsidR="002F6D41" w:rsidRPr="003A2270" w14:paraId="665D2BE3" w14:textId="77777777" w:rsidTr="00AE5155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</w:tcPr>
          <w:p w14:paraId="01AB75B3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CF101F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42AB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CC5697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2A8BD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011E3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AADFEB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F6D41" w:rsidRPr="003A2270" w14:paraId="46235F6C" w14:textId="77777777" w:rsidTr="00AE5155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698480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příjmy v Kč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0CDE9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4 785 110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C43A9F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5 848 784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09B19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6 125 692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EEC0CD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5 610 330</w:t>
            </w:r>
          </w:p>
        </w:tc>
        <w:tc>
          <w:tcPr>
            <w:tcW w:w="1134" w:type="dxa"/>
            <w:vAlign w:val="center"/>
          </w:tcPr>
          <w:p w14:paraId="0967553D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6 578 440</w:t>
            </w:r>
          </w:p>
        </w:tc>
        <w:tc>
          <w:tcPr>
            <w:tcW w:w="1134" w:type="dxa"/>
            <w:vAlign w:val="center"/>
          </w:tcPr>
          <w:p w14:paraId="5C3DB3B0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6 620 211</w:t>
            </w:r>
          </w:p>
        </w:tc>
      </w:tr>
      <w:tr w:rsidR="002F6D41" w:rsidRPr="003A2270" w14:paraId="53788CE3" w14:textId="77777777" w:rsidTr="00AE5155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108F12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  Kč/obyvatel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4D8166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1 204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6A1A6B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1 439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845815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33F5F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134" w:type="dxa"/>
            <w:vAlign w:val="center"/>
          </w:tcPr>
          <w:p w14:paraId="09700ADB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1 576</w:t>
            </w:r>
          </w:p>
        </w:tc>
        <w:tc>
          <w:tcPr>
            <w:tcW w:w="1134" w:type="dxa"/>
            <w:vAlign w:val="center"/>
          </w:tcPr>
          <w:p w14:paraId="2A5D2C4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1 567</w:t>
            </w:r>
          </w:p>
        </w:tc>
      </w:tr>
      <w:tr w:rsidR="002F6D41" w:rsidRPr="003A2270" w14:paraId="76A57CDD" w14:textId="77777777" w:rsidTr="00AE5155">
        <w:trPr>
          <w:trHeight w:val="315"/>
        </w:trPr>
        <w:tc>
          <w:tcPr>
            <w:tcW w:w="2126" w:type="dxa"/>
            <w:shd w:val="clear" w:color="auto" w:fill="FCE4E9"/>
            <w:noWrap/>
            <w:vAlign w:val="center"/>
            <w:hideMark/>
          </w:tcPr>
          <w:p w14:paraId="52C1CC49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Rozdíl v Kč</w:t>
            </w:r>
          </w:p>
        </w:tc>
        <w:tc>
          <w:tcPr>
            <w:tcW w:w="992" w:type="dxa"/>
            <w:shd w:val="clear" w:color="auto" w:fill="FCE4E9"/>
            <w:noWrap/>
            <w:vAlign w:val="center"/>
          </w:tcPr>
          <w:p w14:paraId="6FC6F4F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3 542 793</w:t>
            </w:r>
          </w:p>
        </w:tc>
        <w:tc>
          <w:tcPr>
            <w:tcW w:w="992" w:type="dxa"/>
            <w:shd w:val="clear" w:color="auto" w:fill="FCE4E9"/>
            <w:noWrap/>
            <w:vAlign w:val="center"/>
          </w:tcPr>
          <w:p w14:paraId="3EB0AFE0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2 944 058</w:t>
            </w:r>
          </w:p>
        </w:tc>
        <w:tc>
          <w:tcPr>
            <w:tcW w:w="993" w:type="dxa"/>
            <w:shd w:val="clear" w:color="auto" w:fill="FCE4E9"/>
            <w:noWrap/>
            <w:vAlign w:val="center"/>
          </w:tcPr>
          <w:p w14:paraId="1B57FFDD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3 312 693</w:t>
            </w:r>
          </w:p>
        </w:tc>
        <w:tc>
          <w:tcPr>
            <w:tcW w:w="1134" w:type="dxa"/>
            <w:shd w:val="clear" w:color="auto" w:fill="FCE4E9"/>
            <w:noWrap/>
            <w:vAlign w:val="center"/>
          </w:tcPr>
          <w:p w14:paraId="19FF92CF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4 735 350</w:t>
            </w:r>
          </w:p>
        </w:tc>
        <w:tc>
          <w:tcPr>
            <w:tcW w:w="1134" w:type="dxa"/>
            <w:shd w:val="clear" w:color="auto" w:fill="FCE4E9"/>
            <w:vAlign w:val="center"/>
          </w:tcPr>
          <w:p w14:paraId="7CAFDAA6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4 914 873</w:t>
            </w:r>
          </w:p>
        </w:tc>
        <w:tc>
          <w:tcPr>
            <w:tcW w:w="1134" w:type="dxa"/>
            <w:shd w:val="clear" w:color="auto" w:fill="FCE4E9"/>
            <w:vAlign w:val="center"/>
          </w:tcPr>
          <w:p w14:paraId="01640F24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5 862 850</w:t>
            </w:r>
          </w:p>
        </w:tc>
      </w:tr>
      <w:tr w:rsidR="002F6D41" w:rsidRPr="003A2270" w14:paraId="53A10024" w14:textId="77777777" w:rsidTr="00AE5155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B4319B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  Kč/obyvatel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FEE56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C729B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724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982E77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797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3B750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1151</w:t>
            </w:r>
          </w:p>
        </w:tc>
        <w:tc>
          <w:tcPr>
            <w:tcW w:w="1134" w:type="dxa"/>
            <w:vAlign w:val="center"/>
          </w:tcPr>
          <w:p w14:paraId="2D0579AA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1177</w:t>
            </w:r>
          </w:p>
        </w:tc>
        <w:tc>
          <w:tcPr>
            <w:tcW w:w="1134" w:type="dxa"/>
            <w:vAlign w:val="center"/>
          </w:tcPr>
          <w:p w14:paraId="46194CB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F91C9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1387</w:t>
            </w:r>
          </w:p>
        </w:tc>
      </w:tr>
      <w:tr w:rsidR="002F6D41" w:rsidRPr="003A2270" w14:paraId="421D8D88" w14:textId="77777777" w:rsidTr="00AE5155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8F41FD" w14:textId="77777777" w:rsidR="002F6D41" w:rsidRPr="003A2270" w:rsidRDefault="002F6D41" w:rsidP="00AE5155">
            <w:pPr>
              <w:spacing w:after="0" w:line="240" w:lineRule="auto"/>
              <w:ind w:left="-493" w:firstLine="493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A22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Doplatek z rozpočtu v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E369BE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C67E8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0AE682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9B7AF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55487FBA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5958E387" w14:textId="77777777" w:rsidR="002F6D41" w:rsidRPr="00F91C93" w:rsidRDefault="002F6D41" w:rsidP="00AE5155">
            <w:pPr>
              <w:spacing w:after="0" w:line="240" w:lineRule="auto"/>
              <w:ind w:left="-493" w:firstLine="49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1C9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</w:tbl>
    <w:p w14:paraId="02CB6BEF" w14:textId="77777777" w:rsidR="002F6D41" w:rsidRPr="00CC611B" w:rsidRDefault="002F6D41" w:rsidP="002F6D41">
      <w:pPr>
        <w:jc w:val="both"/>
        <w:rPr>
          <w:rFonts w:ascii="Arial" w:hAnsi="Arial" w:cs="Arial"/>
        </w:rPr>
      </w:pPr>
    </w:p>
    <w:p w14:paraId="6249265D" w14:textId="77777777" w:rsidR="009C1CF4" w:rsidRDefault="009C1CF4" w:rsidP="002F6D41">
      <w:pPr>
        <w:jc w:val="both"/>
        <w:rPr>
          <w:rFonts w:ascii="Arial" w:hAnsi="Arial" w:cs="Arial"/>
        </w:rPr>
      </w:pPr>
    </w:p>
    <w:p w14:paraId="225449B4" w14:textId="77777777" w:rsidR="009C1CF4" w:rsidRDefault="009C1CF4" w:rsidP="002F6D41">
      <w:pPr>
        <w:jc w:val="both"/>
        <w:rPr>
          <w:rFonts w:ascii="Arial" w:hAnsi="Arial" w:cs="Arial"/>
        </w:rPr>
      </w:pPr>
    </w:p>
    <w:p w14:paraId="02A79283" w14:textId="77777777" w:rsidR="009C1CF4" w:rsidRDefault="009C1CF4" w:rsidP="002F6D41">
      <w:pPr>
        <w:jc w:val="both"/>
        <w:rPr>
          <w:rFonts w:ascii="Arial" w:hAnsi="Arial" w:cs="Arial"/>
        </w:rPr>
      </w:pPr>
    </w:p>
    <w:p w14:paraId="7CEA5F4B" w14:textId="77777777" w:rsidR="009C1CF4" w:rsidRDefault="009C1CF4" w:rsidP="002F6D41">
      <w:pPr>
        <w:jc w:val="both"/>
        <w:rPr>
          <w:rFonts w:ascii="Arial" w:hAnsi="Arial" w:cs="Arial"/>
        </w:rPr>
      </w:pPr>
    </w:p>
    <w:p w14:paraId="47322133" w14:textId="77777777" w:rsidR="009C1CF4" w:rsidRPr="00243A94" w:rsidRDefault="009C1CF4" w:rsidP="009C1CF4">
      <w:pPr>
        <w:pStyle w:val="nadpis1"/>
        <w:numPr>
          <w:ilvl w:val="0"/>
          <w:numId w:val="11"/>
        </w:numPr>
        <w:spacing w:after="120" w:line="259" w:lineRule="auto"/>
        <w:rPr>
          <w:color w:val="2F5496" w:themeColor="accent1" w:themeShade="BF"/>
        </w:rPr>
      </w:pPr>
      <w:r w:rsidRPr="00243A94">
        <w:rPr>
          <w:color w:val="2F5496" w:themeColor="accent1" w:themeShade="BF"/>
        </w:rPr>
        <w:lastRenderedPageBreak/>
        <w:t>Shrnutí Návrhové části</w:t>
      </w:r>
    </w:p>
    <w:p w14:paraId="0ADC799D" w14:textId="77777777" w:rsidR="009C1CF4" w:rsidRDefault="009C1CF4" w:rsidP="002F6D41">
      <w:pPr>
        <w:jc w:val="both"/>
        <w:rPr>
          <w:rFonts w:ascii="Arial" w:hAnsi="Arial" w:cs="Arial"/>
        </w:rPr>
      </w:pPr>
    </w:p>
    <w:p w14:paraId="2BE92F37" w14:textId="670913CA" w:rsidR="002F6D41" w:rsidRDefault="002F6D41" w:rsidP="002F6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Návrhová část studie vychází ze závěrů Analytické části, ve které byl hodnocen stav odpadového hospodářství obce Psáry. Zohledňuje zákonné povinnosti obce v OH a cíle OH podle zákona o odpadech a souvisejících zákonů a zahrnuje principy evropského oběhového hospodářství při nakládání s odpady. </w:t>
      </w:r>
    </w:p>
    <w:p w14:paraId="2BC5117F" w14:textId="77777777" w:rsidR="002F6D41" w:rsidRDefault="002F6D41" w:rsidP="002F6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analýzy lze konstatovat:</w:t>
      </w:r>
    </w:p>
    <w:p w14:paraId="423CF7AC" w14:textId="77777777" w:rsidR="002F6D41" w:rsidRDefault="002F6D41" w:rsidP="002F6D41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9A371A">
        <w:rPr>
          <w:rFonts w:ascii="Arial" w:hAnsi="Arial"/>
        </w:rPr>
        <w:t xml:space="preserve">ystém odpadového hospodářství </w:t>
      </w:r>
      <w:r>
        <w:rPr>
          <w:rFonts w:ascii="Arial" w:hAnsi="Arial"/>
        </w:rPr>
        <w:t>obce</w:t>
      </w:r>
      <w:r w:rsidRPr="009A371A">
        <w:rPr>
          <w:rFonts w:ascii="Arial" w:hAnsi="Arial"/>
        </w:rPr>
        <w:t xml:space="preserve"> je funkční</w:t>
      </w:r>
      <w:r>
        <w:rPr>
          <w:rFonts w:ascii="Arial" w:hAnsi="Arial"/>
        </w:rPr>
        <w:t>, ale v některých parametrech neodpovídá požadavkům zákona o odpadech.</w:t>
      </w:r>
      <w:r w:rsidRPr="009A371A">
        <w:rPr>
          <w:rFonts w:ascii="Arial" w:hAnsi="Arial"/>
        </w:rPr>
        <w:t xml:space="preserve"> </w:t>
      </w:r>
    </w:p>
    <w:p w14:paraId="37F666B7" w14:textId="77777777" w:rsidR="002F6D41" w:rsidRPr="0044475D" w:rsidRDefault="002F6D41" w:rsidP="002F6D41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 w:rsidRPr="0044475D">
        <w:rPr>
          <w:rFonts w:ascii="Arial" w:hAnsi="Arial"/>
        </w:rPr>
        <w:t xml:space="preserve">Nedostatkem systému je </w:t>
      </w:r>
      <w:r>
        <w:rPr>
          <w:rFonts w:ascii="Arial" w:hAnsi="Arial"/>
        </w:rPr>
        <w:t xml:space="preserve">vyšší produkce směsných komunálních odpadů a netříděných objemných odpadů, se kterou jsou spojeny vysoké náklady na nakládání s těmito odpady.   </w:t>
      </w:r>
    </w:p>
    <w:p w14:paraId="02CF3D2C" w14:textId="77777777" w:rsidR="002F6D41" w:rsidRPr="0044475D" w:rsidRDefault="002F6D41" w:rsidP="002F6D41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Díky produkce vyšší produkci nerecyklovatelných složek obec </w:t>
      </w:r>
      <w:r w:rsidRPr="0044475D">
        <w:rPr>
          <w:rFonts w:ascii="Arial" w:hAnsi="Arial"/>
        </w:rPr>
        <w:t>nemá předpoklady plnit zákonné cíle pro třídění KO.</w:t>
      </w:r>
    </w:p>
    <w:p w14:paraId="636A676C" w14:textId="77777777" w:rsidR="002F6D41" w:rsidRPr="002B4F47" w:rsidRDefault="002F6D41" w:rsidP="002F6D41">
      <w:pPr>
        <w:jc w:val="both"/>
        <w:rPr>
          <w:rFonts w:ascii="Arial" w:hAnsi="Arial" w:cs="Arial"/>
        </w:rPr>
      </w:pPr>
      <w:r w:rsidRPr="002B4F47">
        <w:rPr>
          <w:rFonts w:ascii="Arial" w:hAnsi="Arial" w:cs="Arial"/>
        </w:rPr>
        <w:t xml:space="preserve">Z Analytické části vyplynuly tyto </w:t>
      </w:r>
      <w:r>
        <w:rPr>
          <w:rFonts w:ascii="Arial" w:hAnsi="Arial" w:cs="Arial"/>
        </w:rPr>
        <w:t xml:space="preserve">hlavní </w:t>
      </w:r>
      <w:r w:rsidRPr="002B4F47">
        <w:rPr>
          <w:rFonts w:ascii="Arial" w:hAnsi="Arial" w:cs="Arial"/>
        </w:rPr>
        <w:t>nedostatky:</w:t>
      </w:r>
    </w:p>
    <w:p w14:paraId="040E7B0C" w14:textId="77777777" w:rsidR="002F6D41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Systém nesplňuje všechny zákonné požadavky (chybějící sběr textilních odpadů apod.).</w:t>
      </w:r>
    </w:p>
    <w:p w14:paraId="3A93398D" w14:textId="77777777" w:rsidR="002F6D41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Spolupráce s TSDB není příliš efektivní (vysoké ceny většiny poskytovaných služeb, stagnace dalšího rozvoje)</w:t>
      </w:r>
    </w:p>
    <w:p w14:paraId="3D13A6EC" w14:textId="77777777" w:rsidR="002F6D41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Nedostatečná sběrná síť na recyklovatelné odpady a vysoká frekvence svozu nádob, vysoké ceny za svoz tříděných plastů a papíru </w:t>
      </w:r>
    </w:p>
    <w:p w14:paraId="35F77743" w14:textId="77777777" w:rsidR="002F6D41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Vyšší produkce směsných komunálních odpadů (SKO)</w:t>
      </w:r>
    </w:p>
    <w:p w14:paraId="71A722C6" w14:textId="77777777" w:rsidR="002F6D41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Vysoká produkce objemných odpadů, které nejsou tříděny na využitelné složky  </w:t>
      </w:r>
    </w:p>
    <w:p w14:paraId="33EDF32D" w14:textId="77777777" w:rsidR="002F6D41" w:rsidRPr="00E31367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Vysoké náklady za nakládání s SKO a objemnými odpady </w:t>
      </w:r>
    </w:p>
    <w:p w14:paraId="4A96D8E4" w14:textId="77777777" w:rsidR="002F6D41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Nedostatečně dostupný sběrný dvůr a chyby v provozování sběrného dvora</w:t>
      </w:r>
    </w:p>
    <w:p w14:paraId="180B90FA" w14:textId="77777777" w:rsidR="002F6D41" w:rsidRPr="001B0BF8" w:rsidRDefault="002F6D41" w:rsidP="002F6D41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A95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nemá stanovené</w:t>
      </w:r>
      <w:r w:rsidRPr="00A95BFC">
        <w:rPr>
          <w:rFonts w:ascii="Arial" w:hAnsi="Arial" w:cs="Arial"/>
        </w:rPr>
        <w:t xml:space="preserve"> řešení živnostenských odpadů</w:t>
      </w:r>
      <w:r>
        <w:rPr>
          <w:rFonts w:ascii="Arial" w:hAnsi="Arial" w:cs="Arial"/>
        </w:rPr>
        <w:t>, tj. neprovádí systematické kontroly původců, ani jim neumožňuje vstup do systému</w:t>
      </w:r>
    </w:p>
    <w:p w14:paraId="0EC57AC0" w14:textId="77777777" w:rsidR="002F6D41" w:rsidRPr="002B4F47" w:rsidRDefault="002F6D41" w:rsidP="002F6D41">
      <w:pPr>
        <w:jc w:val="both"/>
        <w:rPr>
          <w:rFonts w:ascii="Arial" w:hAnsi="Arial" w:cs="Arial"/>
        </w:rPr>
      </w:pPr>
      <w:r w:rsidRPr="002B4F47">
        <w:rPr>
          <w:rFonts w:ascii="Arial" w:hAnsi="Arial" w:cs="Arial"/>
        </w:rPr>
        <w:t xml:space="preserve">Hlavní </w:t>
      </w:r>
      <w:r w:rsidRPr="002B4F47">
        <w:rPr>
          <w:rFonts w:ascii="Arial" w:hAnsi="Arial" w:cs="Arial"/>
          <w:u w:val="single"/>
        </w:rPr>
        <w:t>povinnosti a cíle</w:t>
      </w:r>
      <w:r w:rsidRPr="002B4F47">
        <w:rPr>
          <w:rFonts w:ascii="Arial" w:hAnsi="Arial" w:cs="Arial"/>
        </w:rPr>
        <w:t xml:space="preserve">, které vyplývají pro </w:t>
      </w:r>
      <w:r>
        <w:rPr>
          <w:rFonts w:ascii="Arial" w:hAnsi="Arial" w:cs="Arial"/>
        </w:rPr>
        <w:t>obec ze zákona o odpadech a souvisejících předpisů</w:t>
      </w:r>
      <w:r w:rsidRPr="002B4F47">
        <w:rPr>
          <w:rFonts w:ascii="Arial" w:hAnsi="Arial" w:cs="Arial"/>
        </w:rPr>
        <w:t>, jsou:</w:t>
      </w:r>
    </w:p>
    <w:p w14:paraId="4902C681" w14:textId="77777777" w:rsidR="002F6D41" w:rsidRDefault="002F6D41" w:rsidP="002F6D4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 na recyklaci KO (příloha 1 zákona) a s tím spojená zákonná povinnost obcí v letech 2025–2035 a dále třídit 60 % - 70 % komunálních odpadů. S neplněním povinnosti jsou svázané peněžité sankce v zákoně.</w:t>
      </w:r>
    </w:p>
    <w:p w14:paraId="0A8629E5" w14:textId="77777777" w:rsidR="002F6D41" w:rsidRPr="00600ADD" w:rsidRDefault="002F6D41" w:rsidP="002F6D4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Zákaz skládkování využitelných odpadů včetně komunálních odpadů do r. 2030 (cíl na omezení skládkování max. 10 % KO v r. 2035)  </w:t>
      </w:r>
      <w:r w:rsidRPr="00600ADD">
        <w:rPr>
          <w:rFonts w:ascii="Arial" w:hAnsi="Arial" w:cs="Arial"/>
        </w:rPr>
        <w:t xml:space="preserve"> </w:t>
      </w:r>
    </w:p>
    <w:p w14:paraId="5801E04D" w14:textId="77777777" w:rsidR="002F6D41" w:rsidRDefault="002F6D41" w:rsidP="002F6D4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D90188">
        <w:rPr>
          <w:rFonts w:ascii="Arial" w:hAnsi="Arial" w:cs="Arial"/>
        </w:rPr>
        <w:t xml:space="preserve">Tento cíl </w:t>
      </w:r>
      <w:r>
        <w:rPr>
          <w:rFonts w:ascii="Arial" w:hAnsi="Arial" w:cs="Arial"/>
        </w:rPr>
        <w:t>je</w:t>
      </w:r>
      <w:r w:rsidRPr="00D90188">
        <w:rPr>
          <w:rFonts w:ascii="Arial" w:hAnsi="Arial" w:cs="Arial"/>
        </w:rPr>
        <w:t xml:space="preserve"> podpořen ekonomickým nástrojem v podobě </w:t>
      </w:r>
      <w:proofErr w:type="spellStart"/>
      <w:r w:rsidRPr="00D90188">
        <w:rPr>
          <w:rFonts w:ascii="Arial" w:hAnsi="Arial" w:cs="Arial"/>
        </w:rPr>
        <w:t>skládkovacího</w:t>
      </w:r>
      <w:proofErr w:type="spellEnd"/>
      <w:r w:rsidRPr="00D90188">
        <w:rPr>
          <w:rFonts w:ascii="Arial" w:hAnsi="Arial" w:cs="Arial"/>
        </w:rPr>
        <w:t xml:space="preserve"> poplatku, který se bude od r. 2021 výrazně zvyšovat z</w:t>
      </w:r>
      <w:r>
        <w:rPr>
          <w:rFonts w:ascii="Arial" w:hAnsi="Arial" w:cs="Arial"/>
        </w:rPr>
        <w:t xml:space="preserve"> původních </w:t>
      </w:r>
      <w:r w:rsidRPr="00D90188">
        <w:rPr>
          <w:rFonts w:ascii="Arial" w:hAnsi="Arial" w:cs="Arial"/>
        </w:rPr>
        <w:t>500 Kč/t na 1850 Kč/t v r. 2029</w:t>
      </w:r>
      <w:r>
        <w:rPr>
          <w:rFonts w:ascii="Arial" w:hAnsi="Arial" w:cs="Arial"/>
        </w:rPr>
        <w:t xml:space="preserve">. </w:t>
      </w:r>
    </w:p>
    <w:p w14:paraId="5B06C6F5" w14:textId="77777777" w:rsidR="002F6D41" w:rsidRDefault="002F6D41" w:rsidP="002F6D4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informování obyvatel o stavu OH min. 1x ročně</w:t>
      </w:r>
    </w:p>
    <w:p w14:paraId="2E0B8ECE" w14:textId="77777777" w:rsidR="002F6D41" w:rsidRDefault="002F6D41" w:rsidP="002F6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má povinnost přebrat veškerý komunální odpad vznikající na jejím území při činnosti nepodnikajících fyzických osob, což znamená minimální možnost omezovat produkci odpadů od obyvatel. </w:t>
      </w:r>
    </w:p>
    <w:p w14:paraId="0C723A99" w14:textId="77777777" w:rsidR="002F6D41" w:rsidRDefault="002F6D41" w:rsidP="002F6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Příležitosti k dalšímu rozvoji OH obce jsou zejména:</w:t>
      </w:r>
    </w:p>
    <w:p w14:paraId="153EB72F" w14:textId="77777777" w:rsidR="002F6D41" w:rsidRPr="006E632D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E632D">
        <w:rPr>
          <w:rFonts w:ascii="Arial" w:hAnsi="Arial" w:cs="Arial"/>
        </w:rPr>
        <w:t xml:space="preserve">Revize sběrné sítě a posílení systému tříděného sběru </w:t>
      </w:r>
      <w:r>
        <w:rPr>
          <w:rFonts w:ascii="Arial" w:hAnsi="Arial" w:cs="Arial"/>
        </w:rPr>
        <w:t>recyklova</w:t>
      </w:r>
      <w:r w:rsidRPr="006E632D">
        <w:rPr>
          <w:rFonts w:ascii="Arial" w:hAnsi="Arial" w:cs="Arial"/>
        </w:rPr>
        <w:t xml:space="preserve">telných KO </w:t>
      </w:r>
    </w:p>
    <w:p w14:paraId="22063103" w14:textId="77777777" w:rsidR="002F6D41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Omezení frekvence svozu (RD) a počtu nádob na SKO (BD) pro SKO. Řešení sběru pro chatové oblasti.</w:t>
      </w:r>
    </w:p>
    <w:p w14:paraId="6292F6A3" w14:textId="77777777" w:rsidR="002F6D41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Rozšíření služeb sběrného dvora, dotřídění objemných odpadů a jejich využití</w:t>
      </w:r>
    </w:p>
    <w:p w14:paraId="3B0CAE0C" w14:textId="77777777" w:rsidR="002F6D41" w:rsidRPr="00F33659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33659">
        <w:rPr>
          <w:rFonts w:ascii="Arial" w:hAnsi="Arial" w:cs="Arial"/>
        </w:rPr>
        <w:t>ozvoj aktivit na předcházení vzniku odpadů</w:t>
      </w:r>
      <w:r>
        <w:rPr>
          <w:rFonts w:ascii="Arial" w:hAnsi="Arial" w:cs="Arial"/>
        </w:rPr>
        <w:t xml:space="preserve"> </w:t>
      </w:r>
    </w:p>
    <w:p w14:paraId="707DCC3C" w14:textId="77777777" w:rsidR="002F6D41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Zlepšení informování a motivace obyvatel </w:t>
      </w:r>
    </w:p>
    <w:p w14:paraId="25111DBF" w14:textId="77777777" w:rsidR="002F6D41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Řešení živnostenských odpadů</w:t>
      </w:r>
      <w:r w:rsidRPr="00E8495A">
        <w:rPr>
          <w:rFonts w:ascii="Arial" w:hAnsi="Arial" w:cs="Arial"/>
        </w:rPr>
        <w:t xml:space="preserve"> </w:t>
      </w:r>
    </w:p>
    <w:p w14:paraId="1CAEFD48" w14:textId="77777777" w:rsidR="002F6D41" w:rsidRPr="00E8495A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Prověření poskytovaných služeb TSDB a jejich cenové politiky u všech komodit odpadů</w:t>
      </w:r>
    </w:p>
    <w:p w14:paraId="00378548" w14:textId="77777777" w:rsidR="002F6D41" w:rsidRDefault="002F6D41" w:rsidP="002F6D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 obcí v DSO </w:t>
      </w:r>
      <w:proofErr w:type="spellStart"/>
      <w:r>
        <w:rPr>
          <w:rFonts w:ascii="Arial" w:hAnsi="Arial" w:cs="Arial"/>
        </w:rPr>
        <w:t>Dolnobřežansko</w:t>
      </w:r>
      <w:proofErr w:type="spellEnd"/>
      <w:r>
        <w:rPr>
          <w:rFonts w:ascii="Arial" w:hAnsi="Arial" w:cs="Arial"/>
        </w:rPr>
        <w:t xml:space="preserve"> při společném zajištění služeb v OH </w:t>
      </w:r>
    </w:p>
    <w:p w14:paraId="6D00D1A0" w14:textId="77777777" w:rsidR="002F6D41" w:rsidRDefault="002F6D41" w:rsidP="002F6D41">
      <w:pPr>
        <w:jc w:val="both"/>
        <w:rPr>
          <w:rFonts w:ascii="Arial" w:hAnsi="Arial" w:cs="Arial"/>
        </w:rPr>
      </w:pPr>
    </w:p>
    <w:p w14:paraId="5376E95A" w14:textId="77777777" w:rsidR="002F6D41" w:rsidRPr="00FF1CFF" w:rsidRDefault="002F6D41" w:rsidP="002F6D41">
      <w:pPr>
        <w:tabs>
          <w:tab w:val="num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systémových </w:t>
      </w:r>
      <w:r w:rsidRPr="00FF1CFF">
        <w:rPr>
          <w:rFonts w:ascii="Arial" w:hAnsi="Arial" w:cs="Arial"/>
          <w:b/>
          <w:bCs/>
        </w:rPr>
        <w:t>opatření</w:t>
      </w:r>
      <w:r>
        <w:rPr>
          <w:rFonts w:ascii="Arial" w:hAnsi="Arial" w:cs="Arial"/>
          <w:b/>
          <w:bCs/>
        </w:rPr>
        <w:t xml:space="preserve"> pro obec</w:t>
      </w:r>
    </w:p>
    <w:p w14:paraId="13E2FE16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 w:rsidRPr="00014E7F">
        <w:rPr>
          <w:rFonts w:ascii="Arial" w:hAnsi="Arial" w:cs="Arial"/>
          <w:i/>
        </w:rPr>
        <w:t xml:space="preserve">Zvýšení míry třídění využitelných KO </w:t>
      </w:r>
    </w:p>
    <w:p w14:paraId="063A440C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Doplnění a optimalizace sběrné sítě na papír, plast, sklo </w:t>
      </w:r>
    </w:p>
    <w:p w14:paraId="045140BA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Doplnění nádob na sklo směsné na všechna stanoviště, </w:t>
      </w:r>
    </w:p>
    <w:p w14:paraId="3C2CD42C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Redukce počtu kontejnerů na vybraných stanovištích</w:t>
      </w:r>
    </w:p>
    <w:p w14:paraId="1ED46318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Zřízení min. 15 nových stanovišť na tříděný sběr</w:t>
      </w:r>
    </w:p>
    <w:p w14:paraId="54EA51A8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Vyhodnocení využití sběrné dítě a úprava frekvence svozu  </w:t>
      </w:r>
    </w:p>
    <w:p w14:paraId="3C4B6DE0" w14:textId="77777777" w:rsidR="002F6D41" w:rsidRPr="00FF1CFF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Zpevnění a úprava ploch kontejnerových stání</w:t>
      </w:r>
    </w:p>
    <w:p w14:paraId="34C30E08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FF1CFF">
        <w:rPr>
          <w:rFonts w:ascii="Arial" w:hAnsi="Arial" w:cs="Arial"/>
          <w:bCs/>
        </w:rPr>
        <w:t xml:space="preserve">Změna </w:t>
      </w:r>
      <w:r>
        <w:rPr>
          <w:rFonts w:ascii="Arial" w:hAnsi="Arial" w:cs="Arial"/>
          <w:bCs/>
        </w:rPr>
        <w:t xml:space="preserve">a doplnění </w:t>
      </w:r>
      <w:r w:rsidRPr="00FF1CFF">
        <w:rPr>
          <w:rFonts w:ascii="Arial" w:hAnsi="Arial" w:cs="Arial"/>
          <w:bCs/>
        </w:rPr>
        <w:t>způsobu sběru nápojových kartonů</w:t>
      </w:r>
      <w:r>
        <w:rPr>
          <w:rFonts w:ascii="Arial" w:hAnsi="Arial" w:cs="Arial"/>
          <w:bCs/>
        </w:rPr>
        <w:t xml:space="preserve"> (sběr ve směsi s plasty), </w:t>
      </w:r>
      <w:r w:rsidRPr="00FF1CFF">
        <w:rPr>
          <w:rFonts w:ascii="Arial" w:hAnsi="Arial" w:cs="Arial"/>
          <w:bCs/>
        </w:rPr>
        <w:t>kovových odpadů</w:t>
      </w:r>
      <w:r>
        <w:rPr>
          <w:rFonts w:ascii="Arial" w:hAnsi="Arial" w:cs="Arial"/>
          <w:bCs/>
        </w:rPr>
        <w:t xml:space="preserve"> (sběr ve směsi s plasty a nápojovými kartony ve vazbě na zajištění vhodné dotřiďovací linky), </w:t>
      </w:r>
    </w:p>
    <w:p w14:paraId="39FE12B6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Okamžité zavedení sběru textilních odpadů podle zákona o odpadech</w:t>
      </w:r>
    </w:p>
    <w:p w14:paraId="6320A6BC" w14:textId="77777777" w:rsidR="002F6D41" w:rsidRPr="00E5766A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Zlepšení propagace sběru jedlých olejů a tuků do sběrného dvora</w:t>
      </w:r>
      <w:r w:rsidRPr="00FF1CFF">
        <w:rPr>
          <w:rFonts w:ascii="Arial" w:hAnsi="Arial" w:cs="Arial"/>
          <w:bCs/>
        </w:rPr>
        <w:t xml:space="preserve"> </w:t>
      </w:r>
    </w:p>
    <w:p w14:paraId="76A9533C" w14:textId="77777777" w:rsidR="002F6D41" w:rsidRPr="00FF1CFF" w:rsidRDefault="002F6D41" w:rsidP="002F6D41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58EB15F0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Nakládání s bioodpady</w:t>
      </w:r>
    </w:p>
    <w:p w14:paraId="4DB57CD1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Podpora rozšíření odděleného sběru bioodpadů do sběrných nádob</w:t>
      </w:r>
    </w:p>
    <w:p w14:paraId="46823598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Zhodnotit možnost změny podmínek pro nádobový sběr bioodpadů v domácnostech</w:t>
      </w:r>
    </w:p>
    <w:p w14:paraId="0C4ECFA1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Instalace kontejnerů na bioodpad na sídliště </w:t>
      </w:r>
      <w:proofErr w:type="spellStart"/>
      <w:r>
        <w:rPr>
          <w:rFonts w:ascii="Arial" w:hAnsi="Arial" w:cs="Arial"/>
          <w:bCs/>
        </w:rPr>
        <w:t>Štědřík</w:t>
      </w:r>
      <w:proofErr w:type="spellEnd"/>
    </w:p>
    <w:p w14:paraId="46800AEF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Posouzení rozšíření celoročního sběru bioodpadů na nádob </w:t>
      </w:r>
    </w:p>
    <w:p w14:paraId="39305C8C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Podpora domácího kompostování </w:t>
      </w:r>
    </w:p>
    <w:p w14:paraId="0F5B4C04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Cílená informační kampaň na domácí kompostování</w:t>
      </w:r>
    </w:p>
    <w:p w14:paraId="3C7FF12C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Zjištění zájmu obyvatel obce o kompostéry a případné pořízení kompostérů obcí (s využitím dotačních titulů OPŽP)</w:t>
      </w:r>
    </w:p>
    <w:p w14:paraId="1353F5E9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Nakládání s odpady z veřejné zeleně – zařazení odpadů do evidované produkce obce</w:t>
      </w:r>
    </w:p>
    <w:p w14:paraId="170DA5B7" w14:textId="77777777" w:rsidR="002F6D41" w:rsidRPr="00FF1CFF" w:rsidRDefault="002F6D41" w:rsidP="002F6D41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019B2E8F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 w:rsidRPr="00014E7F">
        <w:rPr>
          <w:rFonts w:ascii="Arial" w:hAnsi="Arial" w:cs="Arial"/>
          <w:i/>
        </w:rPr>
        <w:t>Objemné odpady, sběr</w:t>
      </w:r>
      <w:r>
        <w:rPr>
          <w:rFonts w:ascii="Arial" w:hAnsi="Arial" w:cs="Arial"/>
          <w:i/>
        </w:rPr>
        <w:t xml:space="preserve">ný </w:t>
      </w:r>
      <w:r w:rsidRPr="00014E7F">
        <w:rPr>
          <w:rFonts w:ascii="Arial" w:hAnsi="Arial" w:cs="Arial"/>
          <w:i/>
        </w:rPr>
        <w:t>dv</w:t>
      </w:r>
      <w:r>
        <w:rPr>
          <w:rFonts w:ascii="Arial" w:hAnsi="Arial" w:cs="Arial"/>
          <w:i/>
        </w:rPr>
        <w:t>ůr</w:t>
      </w:r>
    </w:p>
    <w:p w14:paraId="3955C598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Úprava povolení a činnosti stávajícího sběrného dvora podle zákona o odpadech</w:t>
      </w:r>
    </w:p>
    <w:p w14:paraId="2A8A210D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Dovybavení sběrného dvora váhou a kamerovým systémem, uzavření smluv s odběrateli odpadů, dopravce TSDB</w:t>
      </w:r>
    </w:p>
    <w:p w14:paraId="1022C3F2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Rozšíření otevírací doby </w:t>
      </w:r>
    </w:p>
    <w:p w14:paraId="20C3D4B0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Zřízení místa zpětného odběru pneumatik (firma Green </w:t>
      </w:r>
      <w:proofErr w:type="spellStart"/>
      <w:r>
        <w:rPr>
          <w:rFonts w:ascii="Arial" w:hAnsi="Arial" w:cs="Arial"/>
          <w:bCs/>
        </w:rPr>
        <w:t>Logistics</w:t>
      </w:r>
      <w:proofErr w:type="spellEnd"/>
      <w:r>
        <w:rPr>
          <w:rFonts w:ascii="Arial" w:hAnsi="Arial" w:cs="Arial"/>
          <w:bCs/>
        </w:rPr>
        <w:t>)</w:t>
      </w:r>
    </w:p>
    <w:p w14:paraId="13C31924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Omezení odběru stavebních odpadů </w:t>
      </w:r>
    </w:p>
    <w:p w14:paraId="3EA82C35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Příprava a výstavba nového sběrného dvora</w:t>
      </w:r>
    </w:p>
    <w:p w14:paraId="54B4B496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Zvážit rozšíření činnosti sběrného dvora (zpřístupnění pro podnikající subjekty, sdílení dvora s okolními obcemi na základě smluv, rozšíření otevírací doby, úprava vybraných odpadů v areálu sběrného dvora)</w:t>
      </w:r>
    </w:p>
    <w:p w14:paraId="3380B556" w14:textId="77777777" w:rsidR="002F6D41" w:rsidRPr="003726C3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3726C3">
        <w:rPr>
          <w:rFonts w:ascii="Arial" w:hAnsi="Arial" w:cs="Arial"/>
          <w:bCs/>
        </w:rPr>
        <w:t xml:space="preserve">Důsledné třídění objemných odpadů </w:t>
      </w:r>
      <w:r>
        <w:rPr>
          <w:rFonts w:ascii="Arial" w:hAnsi="Arial" w:cs="Arial"/>
          <w:bCs/>
        </w:rPr>
        <w:t xml:space="preserve">na sběrném dvoře </w:t>
      </w:r>
      <w:r w:rsidRPr="003726C3">
        <w:rPr>
          <w:rFonts w:ascii="Arial" w:hAnsi="Arial" w:cs="Arial"/>
          <w:bCs/>
        </w:rPr>
        <w:t xml:space="preserve">na využitelné složky, omezení skládkování objemných odpadů  </w:t>
      </w:r>
    </w:p>
    <w:p w14:paraId="6BB96BB9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Snížení produkce objemných odpadů</w:t>
      </w:r>
    </w:p>
    <w:p w14:paraId="43667CFC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Informační kampaň pro obyvatele o předcházení vzniku objemných odpadů</w:t>
      </w:r>
    </w:p>
    <w:p w14:paraId="4DD5B539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Informace o pravidlech provozu SD a přijímání odpadů</w:t>
      </w:r>
    </w:p>
    <w:p w14:paraId="1A963835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Dotřídění objemných odpadů na využitelné složky</w:t>
      </w:r>
    </w:p>
    <w:p w14:paraId="0FF6FD55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11616293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 w:rsidRPr="00014E7F">
        <w:rPr>
          <w:rFonts w:ascii="Arial" w:hAnsi="Arial" w:cs="Arial"/>
          <w:i/>
        </w:rPr>
        <w:t>Snížení produkce SKO</w:t>
      </w:r>
    </w:p>
    <w:p w14:paraId="600F59D2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Úprava frekvence svozu SKO u rodinných domků v celé obci na 1x za 14 dní po doplnění sběrné sítě na využitelné složky a posílení sběru bioodpadů </w:t>
      </w:r>
    </w:p>
    <w:p w14:paraId="47F5C4E0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Snižování počtu kontejnerů na SKO u bytových domů na </w:t>
      </w:r>
      <w:proofErr w:type="spellStart"/>
      <w:r>
        <w:rPr>
          <w:rFonts w:ascii="Arial" w:hAnsi="Arial" w:cs="Arial"/>
          <w:bCs/>
        </w:rPr>
        <w:t>Štědříku</w:t>
      </w:r>
      <w:proofErr w:type="spellEnd"/>
      <w:r>
        <w:rPr>
          <w:rFonts w:ascii="Arial" w:hAnsi="Arial" w:cs="Arial"/>
          <w:bCs/>
        </w:rPr>
        <w:t xml:space="preserve"> a jejich náhrada za kontejnery na třídění využitelných KO včetně bioodpadů  </w:t>
      </w:r>
    </w:p>
    <w:p w14:paraId="3A8E9B52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Opatření je nutné doplnit informační kampaní pro obyvatele</w:t>
      </w:r>
    </w:p>
    <w:p w14:paraId="0BE95961" w14:textId="77777777" w:rsidR="002F6D41" w:rsidRPr="00ED1579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Změna sběru a svozu SKO v chatových a obtížně dostupných částech obce </w:t>
      </w:r>
    </w:p>
    <w:p w14:paraId="1216A7BF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222CE">
        <w:rPr>
          <w:rFonts w:ascii="Arial" w:hAnsi="Arial" w:cs="Arial"/>
          <w:bCs/>
        </w:rPr>
        <w:t xml:space="preserve">Zajištění </w:t>
      </w:r>
      <w:r>
        <w:rPr>
          <w:rFonts w:ascii="Arial" w:hAnsi="Arial" w:cs="Arial"/>
          <w:bCs/>
        </w:rPr>
        <w:t xml:space="preserve">dlouhodobého </w:t>
      </w:r>
      <w:r w:rsidRPr="00D222CE">
        <w:rPr>
          <w:rFonts w:ascii="Arial" w:hAnsi="Arial" w:cs="Arial"/>
          <w:bCs/>
        </w:rPr>
        <w:t>energetického využití SKO a dalších zbytkových KO vč</w:t>
      </w:r>
      <w:r>
        <w:rPr>
          <w:rFonts w:ascii="Arial" w:hAnsi="Arial" w:cs="Arial"/>
          <w:bCs/>
        </w:rPr>
        <w:t>etně přepravy</w:t>
      </w:r>
    </w:p>
    <w:p w14:paraId="0A2E0522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 w:rsidRPr="008310CB">
        <w:rPr>
          <w:rFonts w:ascii="Arial" w:hAnsi="Arial" w:cs="Arial"/>
        </w:rPr>
        <w:t>Prověřit možnost dlouhodobé smlouvy se</w:t>
      </w:r>
      <w:r>
        <w:rPr>
          <w:rFonts w:ascii="Arial" w:hAnsi="Arial" w:cs="Arial"/>
        </w:rPr>
        <w:t xml:space="preserve"> ZEVO</w:t>
      </w:r>
      <w:r w:rsidRPr="00D222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Pražské služby</w:t>
      </w:r>
    </w:p>
    <w:p w14:paraId="2287AC6A" w14:textId="77777777" w:rsidR="002F6D41" w:rsidRPr="00D222CE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Cs/>
        </w:rPr>
      </w:pPr>
      <w:r w:rsidRPr="006E5E3D">
        <w:rPr>
          <w:rFonts w:ascii="Arial" w:hAnsi="Arial" w:cs="Arial"/>
        </w:rPr>
        <w:t>Prověřit možnosti energetického využití v připravovaných projektech ZEVO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(ZEVO ČEZ a.s. Mělník, ZEVO </w:t>
      </w:r>
      <w:proofErr w:type="spellStart"/>
      <w:r>
        <w:rPr>
          <w:rFonts w:ascii="Arial" w:hAnsi="Arial" w:cs="Arial"/>
        </w:rPr>
        <w:t>PECeN</w:t>
      </w:r>
      <w:proofErr w:type="spellEnd"/>
      <w:r>
        <w:rPr>
          <w:rFonts w:ascii="Arial" w:hAnsi="Arial" w:cs="Arial"/>
        </w:rPr>
        <w:t xml:space="preserve"> FCC Neratovice). </w:t>
      </w:r>
    </w:p>
    <w:p w14:paraId="49EE27CA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Případné vybudování společné překládací stanice pro obce DSKO </w:t>
      </w:r>
      <w:proofErr w:type="spellStart"/>
      <w:r>
        <w:rPr>
          <w:rFonts w:ascii="Arial" w:hAnsi="Arial" w:cs="Arial"/>
        </w:rPr>
        <w:t>Dolnobřežanska</w:t>
      </w:r>
      <w:proofErr w:type="spellEnd"/>
      <w:r>
        <w:rPr>
          <w:rFonts w:ascii="Arial" w:hAnsi="Arial" w:cs="Arial"/>
        </w:rPr>
        <w:t xml:space="preserve"> pro přepravu SKO a dalších vhodných KO do ZEVO (možnost využití TSDB)</w:t>
      </w:r>
    </w:p>
    <w:p w14:paraId="50793C96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561615EA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 w:rsidRPr="00014E7F">
        <w:rPr>
          <w:rFonts w:ascii="Arial" w:hAnsi="Arial" w:cs="Arial"/>
          <w:i/>
        </w:rPr>
        <w:t>Řešení živnostenských odpadů</w:t>
      </w:r>
    </w:p>
    <w:p w14:paraId="2853A087" w14:textId="77777777" w:rsidR="002F6D41" w:rsidRPr="0007193A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Informování </w:t>
      </w:r>
      <w:r>
        <w:rPr>
          <w:rFonts w:ascii="Arial" w:hAnsi="Arial" w:cs="Arial"/>
        </w:rPr>
        <w:t>živnostníků o jejich zákonných povinnostech ve vztahu k systému OH</w:t>
      </w:r>
    </w:p>
    <w:p w14:paraId="2B4231D0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Kontrola původců ze strany obce (§ 147 zákona o odpadech)</w:t>
      </w:r>
      <w:r w:rsidRPr="006D78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 písemná, fyzická kontrola, zhodnocení</w:t>
      </w:r>
    </w:p>
    <w:p w14:paraId="257DB914" w14:textId="77777777" w:rsidR="002F6D41" w:rsidRPr="00ED1579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D1579">
        <w:rPr>
          <w:rFonts w:ascii="Arial" w:hAnsi="Arial" w:cs="Arial"/>
          <w:bCs/>
        </w:rPr>
        <w:t>Zhodnocení možnosti zapojení živnostníků</w:t>
      </w:r>
      <w:r>
        <w:rPr>
          <w:rFonts w:ascii="Arial" w:hAnsi="Arial" w:cs="Arial"/>
          <w:bCs/>
        </w:rPr>
        <w:t xml:space="preserve"> do obecního systému OH</w:t>
      </w:r>
    </w:p>
    <w:p w14:paraId="6331F6CD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Pravidelná každoroční</w:t>
      </w:r>
      <w:r w:rsidRPr="00ED1579">
        <w:rPr>
          <w:rFonts w:ascii="Arial" w:hAnsi="Arial" w:cs="Arial"/>
          <w:bCs/>
        </w:rPr>
        <w:t xml:space="preserve"> kontrola původců ze strany </w:t>
      </w:r>
      <w:r>
        <w:rPr>
          <w:rFonts w:ascii="Arial" w:hAnsi="Arial" w:cs="Arial"/>
          <w:bCs/>
        </w:rPr>
        <w:t>obce</w:t>
      </w:r>
    </w:p>
    <w:p w14:paraId="0ED5FBB4" w14:textId="77777777" w:rsidR="002F6D41" w:rsidRDefault="002F6D41" w:rsidP="002F6D41">
      <w:pPr>
        <w:jc w:val="both"/>
        <w:rPr>
          <w:rFonts w:ascii="Arial" w:hAnsi="Arial" w:cs="Arial"/>
          <w:i/>
        </w:rPr>
      </w:pPr>
    </w:p>
    <w:p w14:paraId="4225EB14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Rozvoj aktivit na p</w:t>
      </w:r>
      <w:r w:rsidRPr="00014E7F">
        <w:rPr>
          <w:rFonts w:ascii="Arial" w:hAnsi="Arial" w:cs="Arial"/>
          <w:i/>
        </w:rPr>
        <w:t>ředcházení vzniku odpadů</w:t>
      </w:r>
    </w:p>
    <w:p w14:paraId="43B82B11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Vybudování a zajištění provozu RE USE centra v areálu nového sběrného dvora</w:t>
      </w:r>
    </w:p>
    <w:p w14:paraId="0B590BFD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Rozvoj spolupráce s kolektivními systémy na zpětný odběr výrobků</w:t>
      </w:r>
    </w:p>
    <w:p w14:paraId="722D9018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Podpora dalších aktivit na předcházení vzniku odpadů</w:t>
      </w:r>
    </w:p>
    <w:p w14:paraId="58FDE8D8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Zjistit realizované aktivity nabízené soukromými subjekty a občany v oblasti předcházení vzniku odpadů a nastavit způsob spolupráce a podpory ze strany obce</w:t>
      </w:r>
    </w:p>
    <w:p w14:paraId="1FDA97B0" w14:textId="77777777" w:rsidR="002F6D41" w:rsidRDefault="002F6D41" w:rsidP="002F6D4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Realizovat opatření na předcházení vzniku odpadů na úřadě a institucích zřizovaných obcí, dále při pořádání venkovních akcí</w:t>
      </w:r>
    </w:p>
    <w:p w14:paraId="1FFA0006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Podpořit dobrovolnické úklidové akce</w:t>
      </w:r>
    </w:p>
    <w:p w14:paraId="54DFABCA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Rozšířit síť odpadkových košů v obci na místech většího shromažďování obyvatel</w:t>
      </w:r>
    </w:p>
    <w:p w14:paraId="23CE3469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Podpora domácího kompostování a sběru použitého textilu</w:t>
      </w:r>
    </w:p>
    <w:p w14:paraId="38BD5352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Informování obyvatel o možnostech předcházení vzniku odpadů</w:t>
      </w:r>
    </w:p>
    <w:p w14:paraId="52324CF3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</w:p>
    <w:p w14:paraId="6EBEF026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 w:rsidRPr="00014E7F">
        <w:rPr>
          <w:rFonts w:ascii="Arial" w:hAnsi="Arial" w:cs="Arial"/>
          <w:i/>
        </w:rPr>
        <w:t xml:space="preserve">Podpora recyklace odpadů </w:t>
      </w:r>
    </w:p>
    <w:p w14:paraId="2E0FD4E5" w14:textId="77777777" w:rsidR="002F6D41" w:rsidRPr="00143057" w:rsidRDefault="002F6D41" w:rsidP="002F6D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výrobků z recyklátů (mobiliář obce, vybavení institucí obce), využití stavebních recyklátů při stavebních zakázkách obce – vnitřní pravidla na používání výrobků z recyklátů ve veřejných zakázkách obce  </w:t>
      </w:r>
    </w:p>
    <w:p w14:paraId="30672F08" w14:textId="77777777" w:rsidR="002F6D41" w:rsidRDefault="002F6D41" w:rsidP="002F6D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Ověření možnosti úpravy vytříděných odpadů a výroby surovin s přidanou hodnotou a případná realizace (pořízení/zapůjčení drtičů na bioodpady a objemné odpady, úprava a drcení stavebních odpadů na obchodovatelné recykláty apod.). Vhodná je spolupráce s obcemi v DSO </w:t>
      </w:r>
      <w:proofErr w:type="spellStart"/>
      <w:r>
        <w:rPr>
          <w:rFonts w:ascii="Arial" w:hAnsi="Arial" w:cs="Arial"/>
        </w:rPr>
        <w:t>Dolnobřežansko</w:t>
      </w:r>
      <w:proofErr w:type="spellEnd"/>
      <w:r>
        <w:rPr>
          <w:rFonts w:ascii="Arial" w:hAnsi="Arial" w:cs="Arial"/>
        </w:rPr>
        <w:t xml:space="preserve">. </w:t>
      </w:r>
    </w:p>
    <w:p w14:paraId="01841795" w14:textId="77777777" w:rsidR="002F6D41" w:rsidRPr="00C67A1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</w:p>
    <w:p w14:paraId="43896228" w14:textId="77777777" w:rsidR="002F6D41" w:rsidRPr="00014E7F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 w:rsidRPr="00014E7F">
        <w:rPr>
          <w:rFonts w:ascii="Arial" w:hAnsi="Arial" w:cs="Arial"/>
          <w:i/>
        </w:rPr>
        <w:t>Komunikace systému OH</w:t>
      </w:r>
    </w:p>
    <w:p w14:paraId="088766C3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ED1579">
        <w:rPr>
          <w:rFonts w:ascii="Arial" w:hAnsi="Arial" w:cs="Arial"/>
        </w:rPr>
        <w:t xml:space="preserve">Nastavení způsobu pravidelné a cílené komunikace OH </w:t>
      </w:r>
      <w:r>
        <w:rPr>
          <w:rFonts w:ascii="Arial" w:hAnsi="Arial" w:cs="Arial"/>
        </w:rPr>
        <w:t>obce</w:t>
      </w:r>
      <w:r w:rsidRPr="00ED1579">
        <w:rPr>
          <w:rFonts w:ascii="Arial" w:hAnsi="Arial" w:cs="Arial"/>
        </w:rPr>
        <w:t xml:space="preserve"> a realizace informační kampaně </w:t>
      </w:r>
      <w:r>
        <w:rPr>
          <w:rFonts w:ascii="Arial" w:hAnsi="Arial" w:cs="Arial"/>
        </w:rPr>
        <w:t>(pravidelné vysvětlování změn OH, splnění zákonné povinnosti informování atd.)</w:t>
      </w:r>
    </w:p>
    <w:p w14:paraId="4D7DF7B1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</w:p>
    <w:p w14:paraId="74942B9F" w14:textId="77777777" w:rsidR="002F6D41" w:rsidRPr="00A47E9A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 w:rsidRPr="00A47E9A">
        <w:rPr>
          <w:rFonts w:ascii="Arial" w:hAnsi="Arial" w:cs="Arial"/>
          <w:i/>
        </w:rPr>
        <w:t xml:space="preserve">Spolupráce s obcemi v DSO </w:t>
      </w:r>
      <w:proofErr w:type="spellStart"/>
      <w:r>
        <w:rPr>
          <w:rFonts w:ascii="Arial" w:hAnsi="Arial" w:cs="Arial"/>
          <w:i/>
        </w:rPr>
        <w:t>Dolnobřežansko</w:t>
      </w:r>
      <w:proofErr w:type="spellEnd"/>
    </w:p>
    <w:p w14:paraId="735A694C" w14:textId="77777777" w:rsidR="002F6D41" w:rsidRDefault="002F6D41" w:rsidP="002F6D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Projednat zájem, možnosti a rozsah spolupráce obcí v oblasti hospodaření s odpady, a to i ve vazbě na existující TSDB</w:t>
      </w:r>
    </w:p>
    <w:p w14:paraId="6E86703C" w14:textId="77777777" w:rsidR="002F6D41" w:rsidRPr="00A42C1F" w:rsidRDefault="002F6D41" w:rsidP="002F6D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Upravit strategii OH obce podle společné dohody obcí a zajistit stabilní provoz OH obce</w:t>
      </w:r>
    </w:p>
    <w:p w14:paraId="368C8FBB" w14:textId="77777777" w:rsidR="002F6D41" w:rsidRDefault="002F6D41" w:rsidP="002F6D41">
      <w:pPr>
        <w:pStyle w:val="Odstavecseseznamem"/>
        <w:ind w:left="360"/>
        <w:jc w:val="both"/>
        <w:rPr>
          <w:rFonts w:ascii="Arial" w:hAnsi="Arial" w:cs="Arial"/>
        </w:rPr>
      </w:pPr>
    </w:p>
    <w:p w14:paraId="4972BBFF" w14:textId="77777777" w:rsidR="002F6D41" w:rsidRDefault="002F6D41" w:rsidP="002F6D41">
      <w:pPr>
        <w:shd w:val="clear" w:color="auto" w:fill="B4C6E7" w:themeFill="accent1" w:themeFillTint="6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Spolupráce s Technickými službami </w:t>
      </w:r>
      <w:proofErr w:type="spellStart"/>
      <w:r>
        <w:rPr>
          <w:rFonts w:ascii="Arial" w:hAnsi="Arial" w:cs="Arial"/>
          <w:i/>
        </w:rPr>
        <w:t>Dolnobřežanska</w:t>
      </w:r>
      <w:proofErr w:type="spellEnd"/>
      <w:r>
        <w:rPr>
          <w:rFonts w:ascii="Arial" w:hAnsi="Arial" w:cs="Arial"/>
          <w:i/>
        </w:rPr>
        <w:t>, zajištění provozu OH</w:t>
      </w:r>
    </w:p>
    <w:p w14:paraId="51A2EEEA" w14:textId="77777777" w:rsidR="002F6D41" w:rsidRDefault="002F6D41" w:rsidP="002F6D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Revidovat a upravit způsob spolupráce s TSDB</w:t>
      </w:r>
    </w:p>
    <w:p w14:paraId="72B47992" w14:textId="77777777" w:rsidR="002F6D41" w:rsidRDefault="002F6D41" w:rsidP="002F6D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Zhodnotit pokračování spolupráce s TSDB i s ohledem na ochotu ostatních obcí rozvíjet činnost TSDB</w:t>
      </w:r>
    </w:p>
    <w:p w14:paraId="10A8CBD4" w14:textId="77777777" w:rsidR="002F6D41" w:rsidRDefault="002F6D41" w:rsidP="002F6D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negativního zhodnocení spolupráce je nutné připravit jiné řešení (založení vlastních technických služeb nebo výběrové řízení na externího dodavatele služeb v OH)</w:t>
      </w:r>
    </w:p>
    <w:p w14:paraId="36A04C2C" w14:textId="77777777" w:rsidR="002F6D41" w:rsidRDefault="002F6D41" w:rsidP="002F6D41">
      <w:pPr>
        <w:jc w:val="both"/>
        <w:rPr>
          <w:rFonts w:ascii="Arial" w:hAnsi="Arial" w:cs="Arial"/>
          <w:i/>
        </w:rPr>
      </w:pPr>
    </w:p>
    <w:p w14:paraId="3E970AC0" w14:textId="77777777" w:rsidR="002F6D41" w:rsidRPr="00014E7F" w:rsidRDefault="002F6D41" w:rsidP="002F6D41">
      <w:pPr>
        <w:jc w:val="both"/>
        <w:rPr>
          <w:rFonts w:ascii="Arial" w:hAnsi="Arial" w:cs="Arial"/>
          <w:b/>
        </w:rPr>
      </w:pPr>
      <w:r w:rsidRPr="00014E7F">
        <w:rPr>
          <w:rFonts w:ascii="Arial" w:hAnsi="Arial" w:cs="Arial"/>
          <w:b/>
        </w:rPr>
        <w:t xml:space="preserve">Návrh organizačních opatření pro </w:t>
      </w:r>
      <w:r>
        <w:rPr>
          <w:rFonts w:ascii="Arial" w:hAnsi="Arial" w:cs="Arial"/>
          <w:b/>
        </w:rPr>
        <w:t>obec</w:t>
      </w:r>
    </w:p>
    <w:p w14:paraId="43844EA0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E3073">
        <w:rPr>
          <w:rFonts w:ascii="Arial" w:hAnsi="Arial" w:cs="Arial"/>
        </w:rPr>
        <w:t xml:space="preserve">chválení strategie rozvoje OH </w:t>
      </w:r>
      <w:r>
        <w:rPr>
          <w:rFonts w:ascii="Arial" w:hAnsi="Arial" w:cs="Arial"/>
        </w:rPr>
        <w:t>obce a její následná realizace</w:t>
      </w:r>
    </w:p>
    <w:p w14:paraId="45C93906" w14:textId="77777777" w:rsidR="002F6D41" w:rsidRDefault="002F6D41" w:rsidP="002F6D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</w:t>
      </w:r>
      <w:r w:rsidRPr="00BE3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vedení evidence, </w:t>
      </w:r>
      <w:r w:rsidRPr="00BE3073">
        <w:rPr>
          <w:rFonts w:ascii="Arial" w:hAnsi="Arial" w:cs="Arial"/>
        </w:rPr>
        <w:t>sledování</w:t>
      </w:r>
      <w:r>
        <w:rPr>
          <w:rFonts w:ascii="Arial" w:hAnsi="Arial" w:cs="Arial"/>
        </w:rPr>
        <w:t xml:space="preserve"> charakteristik, výkonů</w:t>
      </w:r>
      <w:r w:rsidRPr="00BE3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nákladů na </w:t>
      </w:r>
      <w:r w:rsidRPr="00BE3073">
        <w:rPr>
          <w:rFonts w:ascii="Arial" w:hAnsi="Arial" w:cs="Arial"/>
        </w:rPr>
        <w:t>OH</w:t>
      </w:r>
    </w:p>
    <w:p w14:paraId="1174F8B4" w14:textId="77777777" w:rsidR="00FF55FB" w:rsidRDefault="00FF55FB" w:rsidP="002F6D41">
      <w:pPr>
        <w:jc w:val="both"/>
        <w:rPr>
          <w:rFonts w:ascii="Arial" w:hAnsi="Arial" w:cs="Arial"/>
        </w:rPr>
      </w:pPr>
    </w:p>
    <w:p w14:paraId="756A1AAB" w14:textId="77777777" w:rsidR="00FF55FB" w:rsidRDefault="00FF55FB" w:rsidP="002F6D41">
      <w:pPr>
        <w:jc w:val="both"/>
        <w:rPr>
          <w:rFonts w:ascii="Arial" w:hAnsi="Arial" w:cs="Arial"/>
        </w:rPr>
      </w:pPr>
    </w:p>
    <w:p w14:paraId="1F536C9F" w14:textId="77777777" w:rsidR="00FF55FB" w:rsidRDefault="00FF55FB" w:rsidP="002F6D41">
      <w:pPr>
        <w:jc w:val="both"/>
        <w:rPr>
          <w:rFonts w:ascii="Arial" w:hAnsi="Arial" w:cs="Arial"/>
        </w:rPr>
      </w:pPr>
    </w:p>
    <w:p w14:paraId="2BBCC8FE" w14:textId="77777777" w:rsidR="00FF55FB" w:rsidRDefault="00FF55FB" w:rsidP="002F6D41">
      <w:pPr>
        <w:jc w:val="both"/>
        <w:rPr>
          <w:rFonts w:ascii="Arial" w:hAnsi="Arial" w:cs="Arial"/>
        </w:rPr>
      </w:pPr>
    </w:p>
    <w:p w14:paraId="79753C7B" w14:textId="77777777" w:rsidR="00FF55FB" w:rsidRDefault="00FF55FB" w:rsidP="002F6D41">
      <w:pPr>
        <w:jc w:val="both"/>
        <w:rPr>
          <w:rFonts w:ascii="Arial" w:hAnsi="Arial" w:cs="Arial"/>
        </w:rPr>
      </w:pPr>
    </w:p>
    <w:p w14:paraId="4D7CB144" w14:textId="77777777" w:rsidR="00FF55FB" w:rsidRDefault="00FF55FB" w:rsidP="002F6D41">
      <w:pPr>
        <w:jc w:val="both"/>
        <w:rPr>
          <w:rFonts w:ascii="Arial" w:hAnsi="Arial" w:cs="Arial"/>
        </w:rPr>
      </w:pPr>
    </w:p>
    <w:p w14:paraId="1D63FE2F" w14:textId="219E35A5" w:rsidR="002F6D41" w:rsidRDefault="002F6D41" w:rsidP="002F6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Strategie by měla být zásadním dokumentem pro další rozhodování o změnách a úpravách celého systému OH. Souhrn opatření na změny systému odpadového hospodářství obce je uveden v následující tabulce:</w:t>
      </w:r>
    </w:p>
    <w:tbl>
      <w:tblPr>
        <w:tblStyle w:val="Mkatabulky"/>
        <w:tblW w:w="9208" w:type="dxa"/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567"/>
        <w:gridCol w:w="567"/>
        <w:gridCol w:w="567"/>
        <w:gridCol w:w="567"/>
        <w:gridCol w:w="708"/>
      </w:tblGrid>
      <w:tr w:rsidR="002F6D41" w14:paraId="6CA4144C" w14:textId="77777777" w:rsidTr="00AE5155">
        <w:tc>
          <w:tcPr>
            <w:tcW w:w="5098" w:type="dxa"/>
          </w:tcPr>
          <w:p w14:paraId="201B0B85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D41">
              <w:rPr>
                <w:rFonts w:ascii="Arial" w:hAnsi="Arial" w:cs="Arial"/>
                <w:b/>
                <w:sz w:val="18"/>
                <w:szCs w:val="18"/>
              </w:rPr>
              <w:t>Opatření</w:t>
            </w:r>
          </w:p>
        </w:tc>
        <w:tc>
          <w:tcPr>
            <w:tcW w:w="567" w:type="dxa"/>
          </w:tcPr>
          <w:p w14:paraId="4895BADE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D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32EB06A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D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1329D37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D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2DC5FE21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D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FB305D7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D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1F3D861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72C0E1D1" w14:textId="77777777" w:rsidR="002F6D41" w:rsidRPr="00F4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D41">
              <w:rPr>
                <w:rFonts w:ascii="Arial" w:hAnsi="Arial" w:cs="Arial"/>
                <w:b/>
                <w:sz w:val="18"/>
                <w:szCs w:val="18"/>
              </w:rPr>
              <w:t>dále</w:t>
            </w:r>
          </w:p>
        </w:tc>
      </w:tr>
      <w:tr w:rsidR="002F6D41" w14:paraId="6BC5B98A" w14:textId="77777777" w:rsidTr="00AE5155">
        <w:tc>
          <w:tcPr>
            <w:tcW w:w="5098" w:type="dxa"/>
            <w:vAlign w:val="center"/>
          </w:tcPr>
          <w:p w14:paraId="6DAB8DBC" w14:textId="77777777" w:rsidR="002F6D41" w:rsidRPr="00A47A4A" w:rsidRDefault="002F6D41" w:rsidP="00AE51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Úprava evidence odpadů, s</w:t>
            </w: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ledování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 hodnocení výkonů v OH 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6969555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8FACD2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189E45D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AEAF53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72CD44B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47D15015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43FA135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5A4123AA" w14:textId="77777777" w:rsidTr="00AE5155">
        <w:tc>
          <w:tcPr>
            <w:tcW w:w="5098" w:type="dxa"/>
            <w:vAlign w:val="center"/>
          </w:tcPr>
          <w:p w14:paraId="1B6BCC69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Sledování nákladů na OH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18D939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7F62D6B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DD4682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28AB634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520C517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3D9F192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1B95BB5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1016BF2E" w14:textId="77777777" w:rsidTr="00AE5155">
        <w:tc>
          <w:tcPr>
            <w:tcW w:w="5098" w:type="dxa"/>
            <w:vAlign w:val="center"/>
          </w:tcPr>
          <w:p w14:paraId="100224E6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Kontrola živnostníků, jak nakládají s odpady, zhodnocení možnosti zapojení živnostníků do obecního systému OH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pravidelné kontroly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D4E53D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8496B0" w:themeFill="text2" w:themeFillTint="99"/>
          </w:tcPr>
          <w:p w14:paraId="00F403A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2C3BEFC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1269CF2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03BE85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154C138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2296D93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026DFF2A" w14:textId="77777777" w:rsidTr="00AE5155">
        <w:tc>
          <w:tcPr>
            <w:tcW w:w="5098" w:type="dxa"/>
            <w:vAlign w:val="center"/>
          </w:tcPr>
          <w:p w14:paraId="53B10693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Doplnění stávajících stanovišť nádobami na sběr skla směsného</w:t>
            </w:r>
          </w:p>
        </w:tc>
        <w:tc>
          <w:tcPr>
            <w:tcW w:w="567" w:type="dxa"/>
            <w:shd w:val="clear" w:color="auto" w:fill="92D050"/>
          </w:tcPr>
          <w:p w14:paraId="49561E74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7DB14F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ABF425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66190F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8037A4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877874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C8DAE8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12D12428" w14:textId="77777777" w:rsidTr="00AE5155">
        <w:tc>
          <w:tcPr>
            <w:tcW w:w="5098" w:type="dxa"/>
            <w:vAlign w:val="center"/>
          </w:tcPr>
          <w:p w14:paraId="50E29A9D" w14:textId="77777777" w:rsidR="002F6D41" w:rsidRPr="00CB1E69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</w:t>
            </w:r>
            <w:r w:rsidRPr="00CB1E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oplnění nových stanovišť na tříděný odpad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o</w:t>
            </w:r>
            <w:r w:rsidRPr="00CB1E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ptimalizace rozmístění</w:t>
            </w:r>
          </w:p>
        </w:tc>
        <w:tc>
          <w:tcPr>
            <w:tcW w:w="567" w:type="dxa"/>
            <w:shd w:val="clear" w:color="auto" w:fill="92D050"/>
          </w:tcPr>
          <w:p w14:paraId="2052674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145020E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6109F94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6AE0D8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E4B1A3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2388B3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C5E0B3" w:themeFill="accent6" w:themeFillTint="66"/>
          </w:tcPr>
          <w:p w14:paraId="5E41867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0A1F8225" w14:textId="77777777" w:rsidTr="00AE5155">
        <w:tc>
          <w:tcPr>
            <w:tcW w:w="5098" w:type="dxa"/>
            <w:vAlign w:val="center"/>
          </w:tcPr>
          <w:p w14:paraId="7C64D597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Změna způsobu sběru nápojových kartonů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textilu</w:t>
            </w:r>
          </w:p>
        </w:tc>
        <w:tc>
          <w:tcPr>
            <w:tcW w:w="567" w:type="dxa"/>
            <w:shd w:val="clear" w:color="auto" w:fill="92D050"/>
          </w:tcPr>
          <w:p w14:paraId="4362F18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5D787D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83938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C094D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1BB9E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B6AD2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61E794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699FFFF6" w14:textId="77777777" w:rsidTr="00AE5155">
        <w:tc>
          <w:tcPr>
            <w:tcW w:w="5098" w:type="dxa"/>
            <w:vAlign w:val="center"/>
          </w:tcPr>
          <w:p w14:paraId="75D087E6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Ověření</w:t>
            </w: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případná změna sběru kovových odpadů</w:t>
            </w:r>
          </w:p>
        </w:tc>
        <w:tc>
          <w:tcPr>
            <w:tcW w:w="567" w:type="dxa"/>
            <w:shd w:val="clear" w:color="auto" w:fill="auto"/>
          </w:tcPr>
          <w:p w14:paraId="5BFA872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520B6A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430C987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542A92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95F604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AFC94D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6E63C3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2E130A96" w14:textId="77777777" w:rsidTr="00AE5155">
        <w:tc>
          <w:tcPr>
            <w:tcW w:w="5098" w:type="dxa"/>
            <w:vAlign w:val="center"/>
          </w:tcPr>
          <w:p w14:paraId="3A2B6A3E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Posílení tříděného sběru bioodpadů do nádob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E97994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08DF061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6EF9720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2984FE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83F522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03E686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538C60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6531F8BA" w14:textId="77777777" w:rsidTr="00AE5155">
        <w:tc>
          <w:tcPr>
            <w:tcW w:w="5098" w:type="dxa"/>
            <w:shd w:val="clear" w:color="auto" w:fill="auto"/>
            <w:vAlign w:val="center"/>
          </w:tcPr>
          <w:p w14:paraId="2B89EDDE" w14:textId="77777777" w:rsidR="002F6D41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Zavedení nádobového sběru bioodpadů na sídliště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Štědřík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5771B2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2559F8F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7B10C5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E338C6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A9DE54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671551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4DA491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1D53A0A2" w14:textId="77777777" w:rsidTr="00AE5155">
        <w:tc>
          <w:tcPr>
            <w:tcW w:w="5098" w:type="dxa"/>
            <w:shd w:val="clear" w:color="auto" w:fill="auto"/>
            <w:vAlign w:val="center"/>
          </w:tcPr>
          <w:p w14:paraId="491FD275" w14:textId="77777777" w:rsidR="002F6D41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domácího kompostování, nákup kompostérů</w:t>
            </w:r>
          </w:p>
        </w:tc>
        <w:tc>
          <w:tcPr>
            <w:tcW w:w="567" w:type="dxa"/>
            <w:shd w:val="clear" w:color="auto" w:fill="92D050"/>
          </w:tcPr>
          <w:p w14:paraId="64D9B90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0F9B47C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2D050"/>
          </w:tcPr>
          <w:p w14:paraId="531DBD7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6FB4B9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18F97E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CC34DA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C5E0B3" w:themeFill="accent6" w:themeFillTint="66"/>
          </w:tcPr>
          <w:p w14:paraId="4B8736F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64584D2F" w14:textId="77777777" w:rsidTr="00AE5155">
        <w:tc>
          <w:tcPr>
            <w:tcW w:w="5098" w:type="dxa"/>
            <w:vAlign w:val="center"/>
          </w:tcPr>
          <w:p w14:paraId="2C461B9A" w14:textId="77777777" w:rsidR="002F6D41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Obnovení povolení a úprava provozu stávajícího sběrného dvora 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189DB7F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5A844F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36AB2B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F55E6A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D7D560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C5B06F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B270E3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4EF8A24D" w14:textId="77777777" w:rsidTr="00AE5155">
        <w:tc>
          <w:tcPr>
            <w:tcW w:w="5098" w:type="dxa"/>
            <w:vAlign w:val="center"/>
          </w:tcPr>
          <w:p w14:paraId="2A95E6AE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Příprava a výstavba nového sběrného dvora včetně RE USE centra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53BF7C8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14:paraId="7419F0C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14:paraId="223808E5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ABA0EF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EDDB29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A18101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82CEFC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64E93776" w14:textId="77777777" w:rsidTr="00AE5155">
        <w:tc>
          <w:tcPr>
            <w:tcW w:w="5098" w:type="dxa"/>
            <w:vAlign w:val="center"/>
          </w:tcPr>
          <w:p w14:paraId="33775677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Zajištění </w:t>
            </w:r>
            <w:proofErr w:type="spellStart"/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předtřídění</w:t>
            </w:r>
            <w:proofErr w:type="spellEnd"/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objemných odpadů a jejich částečné využití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043CDBB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14:paraId="2DC4BB3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14:paraId="6F4F035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14:paraId="45413DE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14:paraId="72F0EAC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14:paraId="1F6C046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4B083" w:themeFill="accent2" w:themeFillTint="99"/>
          </w:tcPr>
          <w:p w14:paraId="0DF0AB5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0BB6B55D" w14:textId="77777777" w:rsidTr="00AE5155">
        <w:tc>
          <w:tcPr>
            <w:tcW w:w="5098" w:type="dxa"/>
            <w:vAlign w:val="center"/>
          </w:tcPr>
          <w:p w14:paraId="62019F6E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Úprava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frekvence</w:t>
            </w: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svozu SKO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v </w:t>
            </w: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(úprava počtu kontejnerů)</w:t>
            </w:r>
          </w:p>
        </w:tc>
        <w:tc>
          <w:tcPr>
            <w:tcW w:w="567" w:type="dxa"/>
            <w:shd w:val="clear" w:color="auto" w:fill="auto"/>
          </w:tcPr>
          <w:p w14:paraId="734E189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611A28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767171" w:themeFill="background2" w:themeFillShade="80"/>
          </w:tcPr>
          <w:p w14:paraId="3D95213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D28CED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194ECD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94EFE4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67D9B2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5CCB8EF7" w14:textId="77777777" w:rsidTr="00AE5155">
        <w:tc>
          <w:tcPr>
            <w:tcW w:w="5098" w:type="dxa"/>
            <w:vAlign w:val="center"/>
          </w:tcPr>
          <w:p w14:paraId="7B58641C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Změna sběru a svozu SKO v chatových částech obce</w:t>
            </w:r>
          </w:p>
        </w:tc>
        <w:tc>
          <w:tcPr>
            <w:tcW w:w="567" w:type="dxa"/>
            <w:shd w:val="clear" w:color="auto" w:fill="767171" w:themeFill="background2" w:themeFillShade="80"/>
          </w:tcPr>
          <w:p w14:paraId="0905704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767171" w:themeFill="background2" w:themeFillShade="80"/>
          </w:tcPr>
          <w:p w14:paraId="30B0E8B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DDBE88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8736FA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F8F753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D90C27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581BA0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573381EB" w14:textId="77777777" w:rsidTr="00AE5155">
        <w:tc>
          <w:tcPr>
            <w:tcW w:w="5098" w:type="dxa"/>
            <w:vAlign w:val="center"/>
          </w:tcPr>
          <w:p w14:paraId="08387872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Zajištění dlouhodobého energetického využití zbytkových KO v dostupných ZEVO  </w:t>
            </w:r>
          </w:p>
        </w:tc>
        <w:tc>
          <w:tcPr>
            <w:tcW w:w="567" w:type="dxa"/>
            <w:shd w:val="clear" w:color="auto" w:fill="auto"/>
          </w:tcPr>
          <w:p w14:paraId="7971514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0000"/>
          </w:tcPr>
          <w:p w14:paraId="0B48F76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00000"/>
          </w:tcPr>
          <w:p w14:paraId="0947EAC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00000"/>
          </w:tcPr>
          <w:p w14:paraId="2706D59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C3DFBD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F45BF4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9784D1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3C4122DF" w14:textId="77777777" w:rsidTr="00AE5155">
        <w:tc>
          <w:tcPr>
            <w:tcW w:w="5098" w:type="dxa"/>
            <w:vAlign w:val="center"/>
          </w:tcPr>
          <w:p w14:paraId="6E0BE9A3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Prověření možnosti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energetického využití SKO v ZEVO Pražské služby</w:t>
            </w:r>
          </w:p>
        </w:tc>
        <w:tc>
          <w:tcPr>
            <w:tcW w:w="567" w:type="dxa"/>
            <w:shd w:val="clear" w:color="auto" w:fill="FF0000"/>
          </w:tcPr>
          <w:p w14:paraId="5A0F072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00000"/>
          </w:tcPr>
          <w:p w14:paraId="0D933805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00000"/>
          </w:tcPr>
          <w:p w14:paraId="63D8D62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09C9B2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F983E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46397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617706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4D00CA3B" w14:textId="77777777" w:rsidTr="00AE5155">
        <w:tc>
          <w:tcPr>
            <w:tcW w:w="5098" w:type="dxa"/>
            <w:vAlign w:val="center"/>
          </w:tcPr>
          <w:p w14:paraId="29E3A8F8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Příprava a případná výstavba překládací stanice (s obcemi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Dolnobřežanska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)  </w:t>
            </w:r>
          </w:p>
        </w:tc>
        <w:tc>
          <w:tcPr>
            <w:tcW w:w="567" w:type="dxa"/>
            <w:shd w:val="clear" w:color="auto" w:fill="auto"/>
          </w:tcPr>
          <w:p w14:paraId="1DD5F16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7C80"/>
          </w:tcPr>
          <w:p w14:paraId="339B0F4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0000"/>
          </w:tcPr>
          <w:p w14:paraId="5EA5F13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0000"/>
          </w:tcPr>
          <w:p w14:paraId="1F24477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DD7653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B52006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3E5ABE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12BAEA84" w14:textId="77777777" w:rsidTr="00AE5155">
        <w:tc>
          <w:tcPr>
            <w:tcW w:w="5098" w:type="dxa"/>
            <w:vAlign w:val="center"/>
          </w:tcPr>
          <w:p w14:paraId="325B2974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Příprava a realizace informační kampaně pro obyvatele 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6E520FD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5D35CC7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73F2080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272C19F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61EBFB0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3509480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538135" w:themeFill="accent6" w:themeFillShade="BF"/>
          </w:tcPr>
          <w:p w14:paraId="401C24C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61FF25E1" w14:textId="77777777" w:rsidTr="00AE5155">
        <w:tc>
          <w:tcPr>
            <w:tcW w:w="5098" w:type="dxa"/>
            <w:vAlign w:val="center"/>
          </w:tcPr>
          <w:p w14:paraId="27C37ABC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Příprava a realizace aktivit na předcházení vzniku odpadů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11483B4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1B175A2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69EB577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0486AE3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3DD6733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670EA26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538135" w:themeFill="accent6" w:themeFillShade="BF"/>
          </w:tcPr>
          <w:p w14:paraId="377A183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49A9F7FC" w14:textId="77777777" w:rsidTr="00AE5155">
        <w:tc>
          <w:tcPr>
            <w:tcW w:w="5098" w:type="dxa"/>
            <w:vAlign w:val="center"/>
          </w:tcPr>
          <w:p w14:paraId="145D2246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Prověření možností využití výrobků z recyklátů pro potřeby obce, vnitřní pravidla pro veřejné zakázky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53F8A2B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0487CED5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69166E4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1C90D29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7AEC957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8D08D" w:themeFill="accent6" w:themeFillTint="99"/>
          </w:tcPr>
          <w:p w14:paraId="612E0A0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3E43CA05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2FFC229E" w14:textId="77777777" w:rsidTr="00AE5155">
        <w:tc>
          <w:tcPr>
            <w:tcW w:w="5098" w:type="dxa"/>
            <w:vAlign w:val="center"/>
          </w:tcPr>
          <w:p w14:paraId="189B540B" w14:textId="77777777" w:rsidR="002F6D41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Využití výrobků z recyklátů pro mobiliář a další vybavení, stavebních recyklátů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19F3E724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3CF70BF2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6C9221C5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3D26811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0934542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378D70D4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538135" w:themeFill="accent6" w:themeFillShade="BF"/>
          </w:tcPr>
          <w:p w14:paraId="482E36E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4B5441B2" w14:textId="77777777" w:rsidTr="00AE5155">
        <w:tc>
          <w:tcPr>
            <w:tcW w:w="5098" w:type="dxa"/>
            <w:vAlign w:val="center"/>
          </w:tcPr>
          <w:p w14:paraId="76C8C8CF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Jednání s DSO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Dolnobřežansko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 vzájemné spolupráci v OH</w:t>
            </w:r>
          </w:p>
        </w:tc>
        <w:tc>
          <w:tcPr>
            <w:tcW w:w="567" w:type="dxa"/>
            <w:shd w:val="clear" w:color="auto" w:fill="2E74B5" w:themeFill="accent5" w:themeFillShade="BF"/>
          </w:tcPr>
          <w:p w14:paraId="0FCC9CF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DD6EE" w:themeFill="accent5" w:themeFillTint="66"/>
          </w:tcPr>
          <w:p w14:paraId="37AF966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DD6EE" w:themeFill="accent5" w:themeFillTint="66"/>
          </w:tcPr>
          <w:p w14:paraId="662A27B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DD6EE" w:themeFill="accent5" w:themeFillTint="66"/>
          </w:tcPr>
          <w:p w14:paraId="7A417A34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DD6EE" w:themeFill="accent5" w:themeFillTint="66"/>
          </w:tcPr>
          <w:p w14:paraId="3CFA12F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DD6EE" w:themeFill="accent5" w:themeFillTint="66"/>
          </w:tcPr>
          <w:p w14:paraId="60B6E4D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DD6EE" w:themeFill="accent5" w:themeFillTint="66"/>
          </w:tcPr>
          <w:p w14:paraId="6376457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4EC73BF3" w14:textId="77777777" w:rsidTr="00AE5155">
        <w:tc>
          <w:tcPr>
            <w:tcW w:w="5098" w:type="dxa"/>
            <w:vAlign w:val="center"/>
          </w:tcPr>
          <w:p w14:paraId="7A692479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Úprava způsobu a rozsahu služeb poskytovaných TSDB</w:t>
            </w:r>
          </w:p>
        </w:tc>
        <w:tc>
          <w:tcPr>
            <w:tcW w:w="567" w:type="dxa"/>
            <w:shd w:val="clear" w:color="auto" w:fill="2E74B5" w:themeFill="accent5" w:themeFillShade="BF"/>
          </w:tcPr>
          <w:p w14:paraId="2EA93BD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2D6A0AD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82DA7A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A848BB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F0456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A3E93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836F0F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4E9C0F3E" w14:textId="77777777" w:rsidTr="00AE5155">
        <w:tc>
          <w:tcPr>
            <w:tcW w:w="5098" w:type="dxa"/>
            <w:vAlign w:val="center"/>
          </w:tcPr>
          <w:p w14:paraId="4C53BBA8" w14:textId="77777777" w:rsidR="002F6D41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Zhodnocení činnosti TSDB a případná příprava dalšího řešení zajištění provozu OH obce</w:t>
            </w:r>
          </w:p>
        </w:tc>
        <w:tc>
          <w:tcPr>
            <w:tcW w:w="567" w:type="dxa"/>
            <w:shd w:val="clear" w:color="auto" w:fill="2E74B5" w:themeFill="accent5" w:themeFillShade="BF"/>
          </w:tcPr>
          <w:p w14:paraId="435308D4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63867CF6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3974E24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41A844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509B1D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5B77C8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B0F221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482FFD9D" w14:textId="77777777" w:rsidTr="00AE5155">
        <w:tc>
          <w:tcPr>
            <w:tcW w:w="5098" w:type="dxa"/>
            <w:vAlign w:val="center"/>
          </w:tcPr>
          <w:p w14:paraId="5401A885" w14:textId="77777777" w:rsidR="002F6D41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Realizace rozvojových projektů s obcemi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Dolnobřežanska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EAADED7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70C0"/>
          </w:tcPr>
          <w:p w14:paraId="5C33C6DB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70C0"/>
          </w:tcPr>
          <w:p w14:paraId="496096D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70C0"/>
          </w:tcPr>
          <w:p w14:paraId="1987F420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AD3BA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D743B4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44CFA6C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  <w:tr w:rsidR="002F6D41" w14:paraId="56E59CA1" w14:textId="77777777" w:rsidTr="00AE5155">
        <w:tc>
          <w:tcPr>
            <w:tcW w:w="5098" w:type="dxa"/>
            <w:vAlign w:val="center"/>
          </w:tcPr>
          <w:p w14:paraId="74215DF4" w14:textId="77777777" w:rsidR="002F6D41" w:rsidRPr="00A47A4A" w:rsidRDefault="002F6D41" w:rsidP="00AE51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Schválení dlouhodobé strategie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obce</w:t>
            </w: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 OH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včetně akt</w:t>
            </w:r>
            <w:r w:rsidRPr="00A4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ualizace</w:t>
            </w:r>
          </w:p>
        </w:tc>
        <w:tc>
          <w:tcPr>
            <w:tcW w:w="567" w:type="dxa"/>
            <w:shd w:val="clear" w:color="auto" w:fill="2E74B5" w:themeFill="accent5" w:themeFillShade="BF"/>
          </w:tcPr>
          <w:p w14:paraId="3F1E4563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58C89A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7414630E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D29093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5484C9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76F71F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9F353E1" w14:textId="77777777" w:rsidR="002F6D41" w:rsidRDefault="002F6D41" w:rsidP="00AE5155">
            <w:pPr>
              <w:spacing w:after="120" w:line="22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1B6A7AD" w14:textId="77777777" w:rsidR="002F6D41" w:rsidRDefault="002F6D41" w:rsidP="002F6D41">
      <w:pPr>
        <w:jc w:val="both"/>
        <w:rPr>
          <w:rFonts w:ascii="Arial" w:hAnsi="Arial" w:cs="Arial"/>
        </w:rPr>
      </w:pPr>
    </w:p>
    <w:p w14:paraId="692F2E49" w14:textId="77777777" w:rsidR="002F6D41" w:rsidRDefault="002F6D41"/>
    <w:sectPr w:rsidR="002F6D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2CD16" w14:textId="77777777" w:rsidR="00972896" w:rsidRDefault="00972896" w:rsidP="00FF55FB">
      <w:pPr>
        <w:spacing w:after="0" w:line="240" w:lineRule="auto"/>
      </w:pPr>
      <w:r>
        <w:separator/>
      </w:r>
    </w:p>
  </w:endnote>
  <w:endnote w:type="continuationSeparator" w:id="0">
    <w:p w14:paraId="46627C41" w14:textId="77777777" w:rsidR="00972896" w:rsidRDefault="00972896" w:rsidP="00FF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238547"/>
      <w:docPartObj>
        <w:docPartGallery w:val="Page Numbers (Bottom of Page)"/>
        <w:docPartUnique/>
      </w:docPartObj>
    </w:sdtPr>
    <w:sdtContent>
      <w:p w14:paraId="6DB48A5C" w14:textId="7F5D662E" w:rsidR="00FF55FB" w:rsidRDefault="00FF55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9FA50" w14:textId="77777777" w:rsidR="00FF55FB" w:rsidRDefault="00FF5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285C" w14:textId="77777777" w:rsidR="00972896" w:rsidRDefault="00972896" w:rsidP="00FF55FB">
      <w:pPr>
        <w:spacing w:after="0" w:line="240" w:lineRule="auto"/>
      </w:pPr>
      <w:r>
        <w:separator/>
      </w:r>
    </w:p>
  </w:footnote>
  <w:footnote w:type="continuationSeparator" w:id="0">
    <w:p w14:paraId="0F6A8EAC" w14:textId="77777777" w:rsidR="00972896" w:rsidRDefault="00972896" w:rsidP="00FF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2832"/>
    <w:multiLevelType w:val="hybridMultilevel"/>
    <w:tmpl w:val="9BD6D9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E6E67"/>
    <w:multiLevelType w:val="hybridMultilevel"/>
    <w:tmpl w:val="0BF4C994"/>
    <w:lvl w:ilvl="0" w:tplc="173801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4D20"/>
    <w:multiLevelType w:val="hybridMultilevel"/>
    <w:tmpl w:val="38DCA9DE"/>
    <w:lvl w:ilvl="0" w:tplc="A5D43F1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1B3E"/>
    <w:multiLevelType w:val="hybridMultilevel"/>
    <w:tmpl w:val="64B621A0"/>
    <w:lvl w:ilvl="0" w:tplc="C162667E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93505"/>
    <w:multiLevelType w:val="hybridMultilevel"/>
    <w:tmpl w:val="A6407C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8632D"/>
    <w:multiLevelType w:val="hybridMultilevel"/>
    <w:tmpl w:val="EDBE2378"/>
    <w:lvl w:ilvl="0" w:tplc="3E4680F0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A77B9A"/>
    <w:multiLevelType w:val="hybridMultilevel"/>
    <w:tmpl w:val="13D88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656188"/>
    <w:multiLevelType w:val="hybridMultilevel"/>
    <w:tmpl w:val="E87EC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E4FFC"/>
    <w:multiLevelType w:val="hybridMultilevel"/>
    <w:tmpl w:val="A4164B46"/>
    <w:lvl w:ilvl="0" w:tplc="A746C36C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DD6AF1"/>
    <w:multiLevelType w:val="hybridMultilevel"/>
    <w:tmpl w:val="9B9AE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11A7C"/>
    <w:multiLevelType w:val="hybridMultilevel"/>
    <w:tmpl w:val="5F525382"/>
    <w:lvl w:ilvl="0" w:tplc="C6DA2220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0009">
    <w:abstractNumId w:val="10"/>
  </w:num>
  <w:num w:numId="2" w16cid:durableId="53553826">
    <w:abstractNumId w:val="3"/>
  </w:num>
  <w:num w:numId="3" w16cid:durableId="1087001085">
    <w:abstractNumId w:val="8"/>
  </w:num>
  <w:num w:numId="4" w16cid:durableId="978917436">
    <w:abstractNumId w:val="2"/>
  </w:num>
  <w:num w:numId="5" w16cid:durableId="2068456376">
    <w:abstractNumId w:val="4"/>
  </w:num>
  <w:num w:numId="6" w16cid:durableId="1099251354">
    <w:abstractNumId w:val="0"/>
  </w:num>
  <w:num w:numId="7" w16cid:durableId="984621646">
    <w:abstractNumId w:val="5"/>
  </w:num>
  <w:num w:numId="8" w16cid:durableId="161897840">
    <w:abstractNumId w:val="7"/>
  </w:num>
  <w:num w:numId="9" w16cid:durableId="1830051549">
    <w:abstractNumId w:val="6"/>
  </w:num>
  <w:num w:numId="10" w16cid:durableId="488399054">
    <w:abstractNumId w:val="1"/>
  </w:num>
  <w:num w:numId="11" w16cid:durableId="960569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41"/>
    <w:rsid w:val="001031A9"/>
    <w:rsid w:val="002F6D41"/>
    <w:rsid w:val="00415F9A"/>
    <w:rsid w:val="004D246B"/>
    <w:rsid w:val="0051008A"/>
    <w:rsid w:val="00972896"/>
    <w:rsid w:val="009C1CF4"/>
    <w:rsid w:val="00E01D68"/>
    <w:rsid w:val="00E33A59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956B"/>
  <w15:chartTrackingRefBased/>
  <w15:docId w15:val="{C452DF71-2D09-46B3-85DF-DB718F2A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List Paragraph,odrážky"/>
    <w:basedOn w:val="Normln"/>
    <w:link w:val="OdstavecseseznamemChar"/>
    <w:uiPriority w:val="34"/>
    <w:qFormat/>
    <w:rsid w:val="002F6D41"/>
    <w:pPr>
      <w:spacing w:after="200" w:line="276" w:lineRule="auto"/>
      <w:ind w:left="720"/>
      <w:contextualSpacing/>
    </w:pPr>
    <w:rPr>
      <w:kern w:val="0"/>
    </w:rPr>
  </w:style>
  <w:style w:type="character" w:customStyle="1" w:styleId="OdstavecseseznamemChar">
    <w:name w:val="Odstavec se seznamem Char"/>
    <w:aliases w:val="Nad Char,Odstavec cíl se seznamem Char,Odstavec se seznamem5 Char,List Paragraph Char,odrážky Char"/>
    <w:link w:val="Odstavecseseznamem"/>
    <w:uiPriority w:val="34"/>
    <w:rsid w:val="002F6D41"/>
    <w:rPr>
      <w:kern w:val="0"/>
    </w:rPr>
  </w:style>
  <w:style w:type="table" w:styleId="Mkatabulky">
    <w:name w:val="Table Grid"/>
    <w:basedOn w:val="Normlntabulka"/>
    <w:uiPriority w:val="39"/>
    <w:rsid w:val="002F6D4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1"/>
    <w:basedOn w:val="Normln"/>
    <w:link w:val="nadpis1Char"/>
    <w:qFormat/>
    <w:rsid w:val="002F6D41"/>
    <w:pPr>
      <w:spacing w:after="0" w:line="240" w:lineRule="auto"/>
      <w:ind w:left="360" w:hanging="360"/>
      <w:jc w:val="both"/>
    </w:pPr>
    <w:rPr>
      <w:rFonts w:ascii="Arial" w:eastAsia="Calibri" w:hAnsi="Arial" w:cs="Arial"/>
      <w:b/>
      <w:color w:val="000000"/>
      <w:kern w:val="0"/>
      <w:sz w:val="28"/>
      <w:szCs w:val="28"/>
      <w14:ligatures w14:val="none"/>
    </w:rPr>
  </w:style>
  <w:style w:type="character" w:customStyle="1" w:styleId="nadpis1Char">
    <w:name w:val="nadpis1 Char"/>
    <w:basedOn w:val="Standardnpsmoodstavce"/>
    <w:link w:val="nadpis1"/>
    <w:rsid w:val="002F6D41"/>
    <w:rPr>
      <w:rFonts w:ascii="Arial" w:eastAsia="Calibri" w:hAnsi="Arial" w:cs="Arial"/>
      <w:b/>
      <w:color w:val="000000"/>
      <w:kern w:val="0"/>
      <w:sz w:val="28"/>
      <w:szCs w:val="2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5FB"/>
  </w:style>
  <w:style w:type="paragraph" w:styleId="Zpat">
    <w:name w:val="footer"/>
    <w:basedOn w:val="Normln"/>
    <w:link w:val="ZpatChar"/>
    <w:uiPriority w:val="99"/>
    <w:unhideWhenUsed/>
    <w:rsid w:val="00FF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3445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Vrbová</dc:creator>
  <cp:keywords/>
  <dc:description/>
  <cp:lastModifiedBy>Martina Vrbová</cp:lastModifiedBy>
  <cp:revision>1</cp:revision>
  <dcterms:created xsi:type="dcterms:W3CDTF">2025-06-01T21:08:00Z</dcterms:created>
  <dcterms:modified xsi:type="dcterms:W3CDTF">2025-06-01T21:31:00Z</dcterms:modified>
</cp:coreProperties>
</file>