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B80A0" w14:textId="324DF0C9" w:rsidR="006D1352" w:rsidRPr="00C30544" w:rsidRDefault="0086364D" w:rsidP="006D1352">
      <w:pPr>
        <w:pStyle w:val="Nadpis1"/>
        <w:numPr>
          <w:ilvl w:val="0"/>
          <w:numId w:val="0"/>
        </w:numPr>
        <w:jc w:val="center"/>
        <w:rPr>
          <w:sz w:val="32"/>
        </w:rPr>
      </w:pPr>
      <w:bookmarkStart w:id="0" w:name="_Toc523989802"/>
      <w:bookmarkStart w:id="1" w:name="_Toc396247858"/>
      <w:bookmarkStart w:id="2" w:name="_Toc396668975"/>
      <w:bookmarkStart w:id="3" w:name="_Toc422040346"/>
      <w:r>
        <w:rPr>
          <w:sz w:val="28"/>
          <w:szCs w:val="28"/>
        </w:rPr>
        <w:t xml:space="preserve">Akce: </w:t>
      </w:r>
      <w:bookmarkEnd w:id="0"/>
      <w:bookmarkEnd w:id="1"/>
      <w:bookmarkEnd w:id="2"/>
      <w:bookmarkEnd w:id="3"/>
      <w:r w:rsidR="00152973" w:rsidRPr="00152973">
        <w:t>PD - Obnova povrchu parkoviště u budovy OÚ PSÁRY</w:t>
      </w:r>
    </w:p>
    <w:p w14:paraId="57E00458" w14:textId="3BA262F3" w:rsidR="009A4723" w:rsidRPr="00A571B0" w:rsidRDefault="009A4723" w:rsidP="009A4723">
      <w:pPr>
        <w:pStyle w:val="PMNormalIndent"/>
        <w:rPr>
          <w:rFonts w:cs="Arial"/>
          <w:b/>
          <w:bCs/>
          <w:sz w:val="40"/>
          <w:szCs w:val="44"/>
        </w:rPr>
      </w:pPr>
    </w:p>
    <w:p w14:paraId="2B8AD558" w14:textId="48138B25" w:rsidR="00DC09A0" w:rsidRDefault="00DC09A0">
      <w:pPr>
        <w:pStyle w:val="Zkladntext"/>
        <w:jc w:val="center"/>
        <w:rPr>
          <w:rFonts w:cs="Arial"/>
          <w:sz w:val="28"/>
          <w:szCs w:val="28"/>
        </w:rPr>
      </w:pPr>
    </w:p>
    <w:p w14:paraId="2B8AD559" w14:textId="77777777" w:rsidR="00DC09A0" w:rsidRDefault="00DC09A0">
      <w:pPr>
        <w:jc w:val="center"/>
        <w:outlineLvl w:val="0"/>
        <w:rPr>
          <w:rFonts w:cs="Arial"/>
          <w:b/>
          <w:bCs/>
          <w:sz w:val="28"/>
          <w:szCs w:val="28"/>
        </w:rPr>
      </w:pPr>
    </w:p>
    <w:p w14:paraId="2B8AD55A" w14:textId="77C93ECC" w:rsidR="00DC09A0" w:rsidRDefault="0086364D">
      <w:pPr>
        <w:jc w:val="center"/>
        <w:outlineLvl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2B8AD55B" w14:textId="77777777" w:rsidR="00DC09A0" w:rsidRDefault="00DC09A0">
      <w:pPr>
        <w:jc w:val="center"/>
        <w:outlineLvl w:val="0"/>
        <w:rPr>
          <w:rFonts w:cs="Arial"/>
          <w:b/>
          <w:bCs/>
          <w:sz w:val="28"/>
          <w:szCs w:val="28"/>
        </w:rPr>
      </w:pPr>
    </w:p>
    <w:p w14:paraId="2B8AD55C" w14:textId="77777777" w:rsidR="00DC09A0" w:rsidRDefault="00DC09A0">
      <w:pPr>
        <w:outlineLvl w:val="0"/>
        <w:rPr>
          <w:rFonts w:cs="Arial"/>
          <w:b/>
          <w:bCs/>
          <w:sz w:val="28"/>
          <w:szCs w:val="28"/>
        </w:rPr>
      </w:pPr>
    </w:p>
    <w:p w14:paraId="2B8AD55D" w14:textId="77777777" w:rsidR="00DC09A0" w:rsidRDefault="00DC09A0">
      <w:pPr>
        <w:outlineLvl w:val="0"/>
        <w:rPr>
          <w:rFonts w:cs="Arial"/>
          <w:b/>
          <w:bCs/>
          <w:sz w:val="28"/>
          <w:szCs w:val="28"/>
        </w:rPr>
      </w:pPr>
    </w:p>
    <w:p w14:paraId="2B8AD55E" w14:textId="77777777" w:rsidR="00DC09A0" w:rsidRDefault="00DC09A0">
      <w:pPr>
        <w:outlineLvl w:val="0"/>
        <w:rPr>
          <w:rFonts w:cs="Arial"/>
          <w:b/>
          <w:bCs/>
          <w:sz w:val="28"/>
          <w:szCs w:val="28"/>
        </w:rPr>
      </w:pPr>
      <w:bookmarkStart w:id="4" w:name="_Toc422040347"/>
      <w:bookmarkEnd w:id="4"/>
    </w:p>
    <w:p w14:paraId="26136966" w14:textId="6E37B9C8" w:rsidR="001511FA" w:rsidRPr="001511FA" w:rsidRDefault="001511FA" w:rsidP="001511FA">
      <w:pPr>
        <w:jc w:val="center"/>
        <w:rPr>
          <w:b/>
          <w:sz w:val="36"/>
        </w:rPr>
      </w:pPr>
    </w:p>
    <w:p w14:paraId="2B8AD55F" w14:textId="51BF3071" w:rsidR="00DC09A0" w:rsidRDefault="00DC09A0">
      <w:pPr>
        <w:jc w:val="center"/>
        <w:outlineLvl w:val="0"/>
        <w:rPr>
          <w:b/>
          <w:sz w:val="40"/>
        </w:rPr>
      </w:pPr>
    </w:p>
    <w:p w14:paraId="2B8AD560" w14:textId="77777777" w:rsidR="00DC09A0" w:rsidRDefault="00DC09A0">
      <w:pPr>
        <w:jc w:val="center"/>
        <w:outlineLvl w:val="0"/>
        <w:rPr>
          <w:b/>
          <w:sz w:val="40"/>
        </w:rPr>
      </w:pPr>
    </w:p>
    <w:p w14:paraId="2B8AD561" w14:textId="77777777" w:rsidR="00DC09A0" w:rsidRDefault="00DC09A0">
      <w:pPr>
        <w:jc w:val="center"/>
        <w:outlineLvl w:val="0"/>
        <w:rPr>
          <w:b/>
          <w:sz w:val="40"/>
        </w:rPr>
      </w:pPr>
    </w:p>
    <w:p w14:paraId="2B8AD562" w14:textId="77777777" w:rsidR="00DC09A0" w:rsidRDefault="00DC09A0">
      <w:pPr>
        <w:jc w:val="center"/>
        <w:outlineLvl w:val="0"/>
        <w:rPr>
          <w:b/>
          <w:sz w:val="40"/>
        </w:rPr>
      </w:pPr>
    </w:p>
    <w:p w14:paraId="2B8AD563" w14:textId="77777777" w:rsidR="00DC09A0" w:rsidRDefault="0086364D">
      <w:pPr>
        <w:jc w:val="center"/>
        <w:outlineLvl w:val="0"/>
        <w:rPr>
          <w:b/>
          <w:sz w:val="40"/>
        </w:rPr>
      </w:pPr>
      <w:bookmarkStart w:id="5" w:name="_Toc523989804"/>
      <w:r>
        <w:rPr>
          <w:b/>
          <w:sz w:val="40"/>
        </w:rPr>
        <w:t>TECHNICKÁ ZPRÁVA</w:t>
      </w:r>
      <w:bookmarkEnd w:id="5"/>
    </w:p>
    <w:p w14:paraId="2B8AD564" w14:textId="77777777" w:rsidR="00DC09A0" w:rsidRDefault="00DC09A0">
      <w:pPr>
        <w:jc w:val="center"/>
        <w:outlineLvl w:val="0"/>
        <w:rPr>
          <w:b/>
          <w:sz w:val="40"/>
        </w:rPr>
      </w:pPr>
    </w:p>
    <w:p w14:paraId="2B8AD565" w14:textId="77777777" w:rsidR="00DC09A0" w:rsidRDefault="00DC09A0">
      <w:pPr>
        <w:jc w:val="center"/>
        <w:outlineLvl w:val="0"/>
        <w:rPr>
          <w:b/>
          <w:sz w:val="40"/>
        </w:rPr>
      </w:pPr>
    </w:p>
    <w:p w14:paraId="2B8AD566" w14:textId="77777777" w:rsidR="00DC09A0" w:rsidRDefault="00DC09A0">
      <w:pPr>
        <w:jc w:val="center"/>
        <w:outlineLvl w:val="0"/>
        <w:rPr>
          <w:b/>
          <w:sz w:val="40"/>
        </w:rPr>
      </w:pPr>
    </w:p>
    <w:p w14:paraId="2B8AD567" w14:textId="77777777" w:rsidR="00DC09A0" w:rsidRDefault="00DC09A0">
      <w:pPr>
        <w:ind w:left="340" w:hanging="340"/>
        <w:jc w:val="center"/>
      </w:pPr>
    </w:p>
    <w:p w14:paraId="2B8AD568" w14:textId="77777777" w:rsidR="00DC09A0" w:rsidRDefault="00DC09A0"/>
    <w:p w14:paraId="2B8AD569" w14:textId="77777777" w:rsidR="00DC09A0" w:rsidRDefault="00DC09A0"/>
    <w:p w14:paraId="2B8AD56A" w14:textId="77777777" w:rsidR="00DC09A0" w:rsidRDefault="00DC09A0"/>
    <w:p w14:paraId="2B8AD56B" w14:textId="77777777" w:rsidR="00DC09A0" w:rsidRDefault="00DC09A0"/>
    <w:p w14:paraId="2B8AD56C" w14:textId="77777777" w:rsidR="00DC09A0" w:rsidRDefault="00DC09A0"/>
    <w:p w14:paraId="2B8AD56E" w14:textId="77777777" w:rsidR="00DC09A0" w:rsidRDefault="00DC09A0"/>
    <w:p w14:paraId="6FC841F6" w14:textId="77777777" w:rsidR="00152973" w:rsidRDefault="00152973"/>
    <w:p w14:paraId="7977BC22" w14:textId="77777777" w:rsidR="00152973" w:rsidRDefault="00152973"/>
    <w:p w14:paraId="29EDE381" w14:textId="77777777" w:rsidR="00152973" w:rsidRDefault="00152973"/>
    <w:p w14:paraId="2B8AD56F" w14:textId="77777777" w:rsidR="00DC09A0" w:rsidRDefault="00DC09A0"/>
    <w:p w14:paraId="2B8AD570" w14:textId="77777777" w:rsidR="00DC09A0" w:rsidRDefault="00DC09A0"/>
    <w:p w14:paraId="2B8AD571" w14:textId="77777777" w:rsidR="00DC09A0" w:rsidRDefault="00DC09A0"/>
    <w:p w14:paraId="2B8AD572" w14:textId="77777777" w:rsidR="00DC09A0" w:rsidRDefault="00DC09A0"/>
    <w:p w14:paraId="2B8AD573" w14:textId="77777777" w:rsidR="00DC09A0" w:rsidRDefault="00DC09A0"/>
    <w:p w14:paraId="2B8AD574" w14:textId="77777777" w:rsidR="00DC09A0" w:rsidRDefault="00DC09A0"/>
    <w:p w14:paraId="2B8AD578" w14:textId="77777777" w:rsidR="00DC09A0" w:rsidRDefault="00DC09A0"/>
    <w:p w14:paraId="2B8AD57C" w14:textId="77777777" w:rsidR="00DC09A0" w:rsidRDefault="00DC09A0"/>
    <w:p w14:paraId="2CA325E5" w14:textId="77777777" w:rsidR="00BC7D7E" w:rsidRDefault="00BC7D7E"/>
    <w:p w14:paraId="2B8AD57D" w14:textId="77777777" w:rsidR="00DC09A0" w:rsidRDefault="00DC09A0"/>
    <w:p w14:paraId="2B8AD57E" w14:textId="77777777" w:rsidR="00DC09A0" w:rsidRDefault="00DC09A0"/>
    <w:p w14:paraId="2B8AD57F" w14:textId="77777777" w:rsidR="00DC09A0" w:rsidRDefault="00DC09A0"/>
    <w:p w14:paraId="2B8AD580" w14:textId="77777777" w:rsidR="00DC09A0" w:rsidRDefault="00DC09A0"/>
    <w:p w14:paraId="2B8AD581" w14:textId="77777777" w:rsidR="00DC09A0" w:rsidRDefault="00DC09A0"/>
    <w:p w14:paraId="2B8AD585" w14:textId="77777777" w:rsidR="00DC09A0" w:rsidRPr="00B2679D" w:rsidRDefault="0086364D">
      <w:pPr>
        <w:pStyle w:val="Nadpis1"/>
        <w:numPr>
          <w:ilvl w:val="0"/>
          <w:numId w:val="3"/>
        </w:numPr>
      </w:pPr>
      <w:bookmarkStart w:id="6" w:name="_Toc482517779"/>
      <w:bookmarkStart w:id="7" w:name="_Toc446055916"/>
      <w:bookmarkStart w:id="8" w:name="_Toc409009321"/>
      <w:bookmarkStart w:id="9" w:name="_Toc399273287"/>
      <w:bookmarkStart w:id="10" w:name="_Toc396669000"/>
      <w:bookmarkStart w:id="11" w:name="_Toc523989809"/>
      <w:bookmarkStart w:id="12" w:name="_Toc380392817"/>
      <w:bookmarkEnd w:id="6"/>
      <w:bookmarkEnd w:id="7"/>
      <w:bookmarkEnd w:id="8"/>
      <w:bookmarkEnd w:id="9"/>
      <w:bookmarkEnd w:id="10"/>
      <w:r w:rsidRPr="00B2679D">
        <w:lastRenderedPageBreak/>
        <w:t>Všeobecné údaje</w:t>
      </w:r>
      <w:bookmarkEnd w:id="11"/>
      <w:bookmarkEnd w:id="12"/>
    </w:p>
    <w:p w14:paraId="2B8AD586" w14:textId="77777777" w:rsidR="00DC09A0" w:rsidRPr="001511FA" w:rsidRDefault="00DC09A0">
      <w:pPr>
        <w:ind w:firstLine="0"/>
        <w:jc w:val="both"/>
        <w:rPr>
          <w:rFonts w:ascii="Calibri" w:hAnsi="Calibri" w:cs="Calibri"/>
          <w:sz w:val="20"/>
          <w:highlight w:val="yellow"/>
        </w:rPr>
      </w:pPr>
    </w:p>
    <w:p w14:paraId="40E29F8C" w14:textId="2AED9406" w:rsidR="00152973" w:rsidRDefault="00152973" w:rsidP="002D1223">
      <w:pPr>
        <w:pStyle w:val="HEL11"/>
        <w:rPr>
          <w:rFonts w:cs="Calibri"/>
          <w:b w:val="0"/>
          <w:sz w:val="20"/>
        </w:rPr>
      </w:pPr>
      <w:r>
        <w:rPr>
          <w:rFonts w:cs="Calibri"/>
          <w:b w:val="0"/>
          <w:sz w:val="20"/>
        </w:rPr>
        <w:t>Předmětem projektu je obnova povrchu u obecního úřadu Psáry.</w:t>
      </w:r>
    </w:p>
    <w:p w14:paraId="7DBEA37D" w14:textId="67B7DB0F" w:rsidR="00152973" w:rsidRPr="00AF6A97" w:rsidRDefault="00152973" w:rsidP="002D1223">
      <w:pPr>
        <w:pStyle w:val="HEL11"/>
        <w:rPr>
          <w:rFonts w:cs="Calibri"/>
          <w:b w:val="0"/>
          <w:sz w:val="20"/>
        </w:rPr>
      </w:pPr>
      <w:r>
        <w:rPr>
          <w:rFonts w:cs="Calibri"/>
          <w:b w:val="0"/>
          <w:sz w:val="20"/>
        </w:rPr>
        <w:t>V rámci obnovy povrchu dojde k odstranění stávající asfaltové vrstvy, osazení betonových obrub a svahových tvárnic, vyznačené 4 parkovacích stání.</w:t>
      </w:r>
    </w:p>
    <w:p w14:paraId="2B8AD58F" w14:textId="77777777" w:rsidR="00DC09A0" w:rsidRPr="00AF6A97" w:rsidRDefault="00DC09A0">
      <w:pPr>
        <w:pStyle w:val="HEL11"/>
        <w:rPr>
          <w:rFonts w:cs="Calibri"/>
          <w:b w:val="0"/>
          <w:sz w:val="20"/>
        </w:rPr>
      </w:pPr>
    </w:p>
    <w:p w14:paraId="2B8AD590" w14:textId="77777777" w:rsidR="00DC09A0" w:rsidRPr="00AF6A97" w:rsidRDefault="0086364D">
      <w:pPr>
        <w:pStyle w:val="Nadpis1"/>
        <w:numPr>
          <w:ilvl w:val="0"/>
          <w:numId w:val="3"/>
        </w:numPr>
      </w:pPr>
      <w:bookmarkStart w:id="13" w:name="_Toc523989811"/>
      <w:bookmarkStart w:id="14" w:name="_Toc313890433"/>
      <w:bookmarkStart w:id="15" w:name="_Toc380392819"/>
      <w:r w:rsidRPr="00AF6A97">
        <w:t>Podklady</w:t>
      </w:r>
      <w:bookmarkEnd w:id="13"/>
      <w:bookmarkEnd w:id="14"/>
      <w:bookmarkEnd w:id="15"/>
    </w:p>
    <w:p w14:paraId="2B8AD591" w14:textId="77777777" w:rsidR="00DC09A0" w:rsidRPr="00AF6A97" w:rsidRDefault="00DC09A0"/>
    <w:p w14:paraId="2B8AD592" w14:textId="77777777" w:rsidR="00DC09A0" w:rsidRPr="00AF6A97" w:rsidRDefault="0086364D">
      <w:pPr>
        <w:pStyle w:val="HEL11"/>
        <w:rPr>
          <w:rFonts w:cs="Calibri"/>
          <w:b w:val="0"/>
          <w:sz w:val="20"/>
        </w:rPr>
      </w:pPr>
      <w:r w:rsidRPr="00AF6A97">
        <w:rPr>
          <w:rFonts w:cs="Calibri"/>
          <w:b w:val="0"/>
          <w:sz w:val="20"/>
        </w:rPr>
        <w:t xml:space="preserve">    • zadání stavebníka</w:t>
      </w:r>
    </w:p>
    <w:p w14:paraId="2B8AD593" w14:textId="77777777" w:rsidR="00DC09A0" w:rsidRPr="00AF6A97" w:rsidRDefault="0086364D">
      <w:pPr>
        <w:pStyle w:val="HEL11"/>
        <w:rPr>
          <w:rFonts w:cs="Calibri"/>
          <w:b w:val="0"/>
          <w:sz w:val="20"/>
        </w:rPr>
      </w:pPr>
      <w:r w:rsidRPr="00AF6A97">
        <w:rPr>
          <w:rFonts w:cs="Calibri"/>
          <w:b w:val="0"/>
          <w:sz w:val="20"/>
        </w:rPr>
        <w:t xml:space="preserve">    • geodetické zaměření pozemku</w:t>
      </w:r>
    </w:p>
    <w:p w14:paraId="2B8AD594" w14:textId="3D0A67E7" w:rsidR="00DC09A0" w:rsidRDefault="0086364D">
      <w:pPr>
        <w:pStyle w:val="HEL11"/>
        <w:rPr>
          <w:rFonts w:cs="Calibri"/>
          <w:b w:val="0"/>
          <w:sz w:val="20"/>
        </w:rPr>
      </w:pPr>
      <w:r w:rsidRPr="00AF6A97">
        <w:rPr>
          <w:rFonts w:cs="Calibri"/>
          <w:b w:val="0"/>
          <w:sz w:val="20"/>
        </w:rPr>
        <w:t xml:space="preserve">    • snímek z katastrální mapy a výpis z</w:t>
      </w:r>
      <w:r w:rsidR="002F5A3D">
        <w:rPr>
          <w:rFonts w:cs="Calibri"/>
          <w:b w:val="0"/>
          <w:sz w:val="20"/>
        </w:rPr>
        <w:t> </w:t>
      </w:r>
      <w:r w:rsidRPr="00AF6A97">
        <w:rPr>
          <w:rFonts w:cs="Calibri"/>
          <w:b w:val="0"/>
          <w:sz w:val="20"/>
        </w:rPr>
        <w:t>KN</w:t>
      </w:r>
    </w:p>
    <w:p w14:paraId="3D1259B3" w14:textId="77777777" w:rsidR="002F5A3D" w:rsidRPr="00AF6A97" w:rsidRDefault="002F5A3D">
      <w:pPr>
        <w:pStyle w:val="HEL11"/>
        <w:rPr>
          <w:rFonts w:cs="Calibri"/>
          <w:b w:val="0"/>
          <w:sz w:val="20"/>
        </w:rPr>
      </w:pPr>
    </w:p>
    <w:p w14:paraId="2B8AD598" w14:textId="77777777" w:rsidR="00DC09A0" w:rsidRPr="00791B58" w:rsidRDefault="0086364D">
      <w:pPr>
        <w:pStyle w:val="Nadpis1"/>
        <w:numPr>
          <w:ilvl w:val="0"/>
          <w:numId w:val="3"/>
        </w:numPr>
      </w:pPr>
      <w:bookmarkStart w:id="16" w:name="_Toc523989812"/>
      <w:bookmarkStart w:id="17" w:name="_Toc313890435"/>
      <w:bookmarkStart w:id="18" w:name="_Toc380392820"/>
      <w:r w:rsidRPr="00791B58">
        <w:t>Demolice</w:t>
      </w:r>
      <w:bookmarkEnd w:id="16"/>
      <w:bookmarkEnd w:id="17"/>
      <w:bookmarkEnd w:id="18"/>
    </w:p>
    <w:p w14:paraId="2B8AD599" w14:textId="77777777" w:rsidR="00DC09A0" w:rsidRPr="00791B58" w:rsidRDefault="00DC09A0">
      <w:pPr>
        <w:ind w:firstLine="0"/>
        <w:jc w:val="both"/>
        <w:rPr>
          <w:rFonts w:ascii="Calibri" w:hAnsi="Calibri" w:cs="Calibri"/>
          <w:sz w:val="20"/>
        </w:rPr>
      </w:pPr>
    </w:p>
    <w:p w14:paraId="2B8AD59A" w14:textId="5CC4C158" w:rsidR="00DC09A0" w:rsidRPr="00791B58" w:rsidRDefault="00152973">
      <w:pPr>
        <w:ind w:firstLine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V rámci demolice dojde k odstranění cca 90,3m2 stávající asfaltové vrstvy v tl.cca 10 cm. Dále dojde k odstranění cca 30m2 štěrkodrti v tl. cca 20cm.</w:t>
      </w:r>
    </w:p>
    <w:p w14:paraId="2B8AD59B" w14:textId="41268B3B" w:rsidR="00DC09A0" w:rsidRPr="00791B58" w:rsidRDefault="00DC09A0">
      <w:pPr>
        <w:ind w:firstLine="0"/>
        <w:jc w:val="both"/>
        <w:rPr>
          <w:rFonts w:ascii="Calibri" w:hAnsi="Calibri" w:cs="Calibri"/>
          <w:sz w:val="20"/>
        </w:rPr>
      </w:pPr>
    </w:p>
    <w:p w14:paraId="2B8AD59C" w14:textId="77777777" w:rsidR="00DC09A0" w:rsidRPr="00EA4343" w:rsidRDefault="0086364D">
      <w:pPr>
        <w:pStyle w:val="Nadpis1"/>
        <w:numPr>
          <w:ilvl w:val="0"/>
          <w:numId w:val="3"/>
        </w:numPr>
      </w:pPr>
      <w:bookmarkStart w:id="19" w:name="_Toc523989813"/>
      <w:bookmarkStart w:id="20" w:name="_Toc313890436"/>
      <w:bookmarkStart w:id="21" w:name="_Toc380392821"/>
      <w:r w:rsidRPr="00EA4343">
        <w:t>Dopravní a stavební řešení</w:t>
      </w:r>
      <w:bookmarkEnd w:id="19"/>
      <w:bookmarkEnd w:id="20"/>
      <w:bookmarkEnd w:id="21"/>
      <w:r w:rsidRPr="00EA4343">
        <w:t xml:space="preserve"> </w:t>
      </w:r>
    </w:p>
    <w:p w14:paraId="2B8AD59D" w14:textId="77777777" w:rsidR="00DC09A0" w:rsidRPr="00EA4343" w:rsidRDefault="00DC09A0"/>
    <w:p w14:paraId="2B8AD59E" w14:textId="4792DFCD" w:rsidR="00DC09A0" w:rsidRPr="00EA4343" w:rsidRDefault="00152973" w:rsidP="001511FA">
      <w:pPr>
        <w:pStyle w:val="Nadpis1"/>
        <w:numPr>
          <w:ilvl w:val="1"/>
          <w:numId w:val="3"/>
        </w:numPr>
      </w:pPr>
      <w:r>
        <w:t>Parkoviště</w:t>
      </w:r>
    </w:p>
    <w:p w14:paraId="2B8AD59F" w14:textId="77777777" w:rsidR="00DC09A0" w:rsidRPr="00EA4343" w:rsidRDefault="00DC09A0">
      <w:pPr>
        <w:pStyle w:val="HEL12"/>
        <w:outlineLvl w:val="1"/>
      </w:pPr>
    </w:p>
    <w:p w14:paraId="1DD3A4D1" w14:textId="6F3FAE18" w:rsidR="00230568" w:rsidRDefault="00152973">
      <w:pPr>
        <w:pStyle w:val="HEL12"/>
        <w:outlineLvl w:val="1"/>
        <w:rPr>
          <w:b w:val="0"/>
        </w:rPr>
      </w:pPr>
      <w:r>
        <w:rPr>
          <w:b w:val="0"/>
        </w:rPr>
        <w:t>Ve stávající asfaltové ploše dojde k obnově stávajícího povrchu. Povrchu bude proveden z betonové dlažby tl. 80 mm s ložnou vrstvou 40 mm 2/4mm.</w:t>
      </w:r>
    </w:p>
    <w:p w14:paraId="32792362" w14:textId="09DBA11B" w:rsidR="00551493" w:rsidRDefault="00152973">
      <w:pPr>
        <w:pStyle w:val="HEL12"/>
        <w:outlineLvl w:val="1"/>
        <w:rPr>
          <w:b w:val="0"/>
        </w:rPr>
      </w:pPr>
      <w:r>
        <w:rPr>
          <w:b w:val="0"/>
        </w:rPr>
        <w:t>Po odstranění stávající asfaltové vrstvy dojde k vyrovnání povrchu, doplnění štěrkodrti do požadovaných výškových hodnot a zhutnění podkladu. V místech kde není dostatečná tloušťka podkladních vrstev dojde k provedení podkladních vrstev tl. 350 mm 0/63.</w:t>
      </w:r>
    </w:p>
    <w:p w14:paraId="6E34956E" w14:textId="4D23502A" w:rsidR="00152973" w:rsidRDefault="00152973">
      <w:pPr>
        <w:pStyle w:val="HEL12"/>
        <w:outlineLvl w:val="1"/>
        <w:rPr>
          <w:b w:val="0"/>
        </w:rPr>
      </w:pPr>
      <w:r>
        <w:rPr>
          <w:b w:val="0"/>
        </w:rPr>
        <w:t>Betonová dlažba bude provedena v ploše 121m2.</w:t>
      </w:r>
    </w:p>
    <w:p w14:paraId="1D357BC5" w14:textId="2502BA3F" w:rsidR="00152973" w:rsidRDefault="00152973">
      <w:pPr>
        <w:pStyle w:val="HEL12"/>
        <w:outlineLvl w:val="1"/>
        <w:rPr>
          <w:b w:val="0"/>
        </w:rPr>
      </w:pPr>
      <w:r>
        <w:rPr>
          <w:b w:val="0"/>
        </w:rPr>
        <w:t>Betonová plocha bude ohraničeni betonovou obrubou 15/25 cm do bet. lože C20/25 s nášlapem +10 cm v délce cca 12m.</w:t>
      </w:r>
    </w:p>
    <w:p w14:paraId="1607A789" w14:textId="08DC7F7A" w:rsidR="00152973" w:rsidRDefault="00152973">
      <w:pPr>
        <w:pStyle w:val="HEL12"/>
        <w:outlineLvl w:val="1"/>
        <w:rPr>
          <w:b w:val="0"/>
        </w:rPr>
      </w:pPr>
      <w:r>
        <w:rPr>
          <w:b w:val="0"/>
        </w:rPr>
        <w:t>V místech většího výškového rozdílu budou osazeny svahové tvárnice, výška bude od 20 cm do 60 cm.</w:t>
      </w:r>
    </w:p>
    <w:p w14:paraId="47BB227F" w14:textId="77777777" w:rsidR="00671E78" w:rsidRDefault="00671E78">
      <w:pPr>
        <w:pStyle w:val="HEL12"/>
        <w:outlineLvl w:val="1"/>
        <w:rPr>
          <w:b w:val="0"/>
        </w:rPr>
      </w:pPr>
    </w:p>
    <w:p w14:paraId="4837FD32" w14:textId="20620EDB" w:rsidR="00671E78" w:rsidRDefault="00671E78" w:rsidP="00671E78">
      <w:pPr>
        <w:pStyle w:val="Nadpis1"/>
        <w:numPr>
          <w:ilvl w:val="1"/>
          <w:numId w:val="3"/>
        </w:numPr>
      </w:pPr>
      <w:r>
        <w:t>Výpis materiálu</w:t>
      </w:r>
    </w:p>
    <w:p w14:paraId="03AD8BA6" w14:textId="5A2C0B76" w:rsidR="00671E78" w:rsidRPr="00671E78" w:rsidRDefault="00671E78" w:rsidP="00671E78">
      <w:pPr>
        <w:pStyle w:val="Nadpis2"/>
        <w:numPr>
          <w:ilvl w:val="0"/>
          <w:numId w:val="0"/>
        </w:numPr>
        <w:rPr>
          <w:rFonts w:ascii="Calibri" w:hAnsi="Calibri" w:cs="Times New Roman"/>
          <w:b w:val="0"/>
          <w:bCs w:val="0"/>
          <w:iCs w:val="0"/>
          <w:sz w:val="20"/>
          <w:szCs w:val="22"/>
          <w:u w:val="none"/>
        </w:rPr>
      </w:pPr>
      <w:r w:rsidRPr="00671E78">
        <w:rPr>
          <w:rFonts w:ascii="Calibri" w:hAnsi="Calibri" w:cs="Times New Roman"/>
          <w:b w:val="0"/>
          <w:bCs w:val="0"/>
          <w:iCs w:val="0"/>
          <w:sz w:val="20"/>
          <w:szCs w:val="22"/>
          <w:u w:val="none"/>
        </w:rPr>
        <w:t>Pro stavbu jsou je uvažováno následující množství materiálu:</w:t>
      </w:r>
    </w:p>
    <w:p w14:paraId="40D2735E" w14:textId="22CF2DE3" w:rsidR="00671E78" w:rsidRDefault="00AA3222" w:rsidP="00671E78">
      <w:pPr>
        <w:pStyle w:val="Odstavecseseznamem"/>
        <w:numPr>
          <w:ilvl w:val="0"/>
          <w:numId w:val="8"/>
        </w:numPr>
      </w:pPr>
      <w:r>
        <w:t>Demolice stávající asfaltové konstrukce tl. 10 cm</w:t>
      </w:r>
      <w:r>
        <w:tab/>
      </w:r>
      <w:r>
        <w:tab/>
        <w:t xml:space="preserve">plocha: </w:t>
      </w:r>
      <w:r w:rsidR="00997B97">
        <w:t>90,3</w:t>
      </w:r>
      <w:r w:rsidR="005D4EEB">
        <w:t xml:space="preserve"> </w:t>
      </w:r>
      <w:r w:rsidR="00997B97">
        <w:t>m2</w:t>
      </w:r>
    </w:p>
    <w:p w14:paraId="58269E75" w14:textId="33866985" w:rsidR="00997B97" w:rsidRDefault="00997B97" w:rsidP="00671E78">
      <w:pPr>
        <w:pStyle w:val="Odstavecseseznamem"/>
        <w:numPr>
          <w:ilvl w:val="0"/>
          <w:numId w:val="8"/>
        </w:numPr>
      </w:pPr>
      <w:r>
        <w:t>Demolice stávající štěrkové plochy, tl. 20 cm</w:t>
      </w:r>
      <w:r>
        <w:tab/>
      </w:r>
      <w:r>
        <w:tab/>
      </w:r>
      <w:r>
        <w:tab/>
        <w:t>plocha: 30 m2</w:t>
      </w:r>
    </w:p>
    <w:p w14:paraId="58492544" w14:textId="6A3A2283" w:rsidR="00997B97" w:rsidRDefault="00997B97" w:rsidP="00671E78">
      <w:pPr>
        <w:pStyle w:val="Odstavecseseznamem"/>
        <w:numPr>
          <w:ilvl w:val="0"/>
          <w:numId w:val="8"/>
        </w:numPr>
      </w:pPr>
      <w:r>
        <w:t xml:space="preserve">Hutnění </w:t>
      </w:r>
      <w:r w:rsidR="00024216">
        <w:t>podkladních vrstev parkovací plochy</w:t>
      </w:r>
      <w:r w:rsidR="00024216">
        <w:tab/>
      </w:r>
      <w:r w:rsidR="00024216">
        <w:tab/>
      </w:r>
      <w:r w:rsidR="00024216">
        <w:tab/>
        <w:t>plocha: 121 m2</w:t>
      </w:r>
    </w:p>
    <w:p w14:paraId="7B071651" w14:textId="78C10EAB" w:rsidR="00024216" w:rsidRDefault="00024216" w:rsidP="00671E78">
      <w:pPr>
        <w:pStyle w:val="Odstavecseseznamem"/>
        <w:numPr>
          <w:ilvl w:val="0"/>
          <w:numId w:val="8"/>
        </w:numPr>
      </w:pPr>
      <w:r>
        <w:t>Doplnění podkladních vrstev 0/32</w:t>
      </w:r>
      <w:r w:rsidR="00E5488E">
        <w:t>, průměrná tloušťka 5</w:t>
      </w:r>
      <w:r w:rsidR="004D16A8">
        <w:t xml:space="preserve"> </w:t>
      </w:r>
      <w:r w:rsidR="00E5488E">
        <w:t>cm</w:t>
      </w:r>
      <w:r w:rsidR="00E5488E">
        <w:tab/>
        <w:t>p</w:t>
      </w:r>
      <w:r w:rsidR="00361F94">
        <w:t>l</w:t>
      </w:r>
      <w:r w:rsidR="00E5488E">
        <w:t>ocha: 121 m2</w:t>
      </w:r>
    </w:p>
    <w:p w14:paraId="6B1D6D74" w14:textId="01201644" w:rsidR="00E5488E" w:rsidRDefault="00E5488E" w:rsidP="00671E78">
      <w:pPr>
        <w:pStyle w:val="Odstavecseseznamem"/>
        <w:numPr>
          <w:ilvl w:val="0"/>
          <w:numId w:val="8"/>
        </w:numPr>
      </w:pPr>
      <w:r>
        <w:t>Podkladní vrstvy ŠD 0/63 tl. 350 mm</w:t>
      </w:r>
      <w:r>
        <w:tab/>
      </w:r>
      <w:r>
        <w:tab/>
      </w:r>
      <w:r>
        <w:tab/>
      </w:r>
      <w:r>
        <w:tab/>
        <w:t xml:space="preserve">plocha: </w:t>
      </w:r>
      <w:r w:rsidR="00361F94">
        <w:t>30</w:t>
      </w:r>
      <w:r w:rsidR="005D4EEB">
        <w:t xml:space="preserve"> </w:t>
      </w:r>
      <w:r w:rsidR="00361F94">
        <w:t>m2</w:t>
      </w:r>
    </w:p>
    <w:p w14:paraId="5928E1DA" w14:textId="68C21589" w:rsidR="00361F94" w:rsidRDefault="00361F94" w:rsidP="00671E78">
      <w:pPr>
        <w:pStyle w:val="Odstavecseseznamem"/>
        <w:numPr>
          <w:ilvl w:val="0"/>
          <w:numId w:val="8"/>
        </w:numPr>
      </w:pPr>
      <w:r>
        <w:t>Ložná vrstva 2/4 tl. 40</w:t>
      </w:r>
      <w:r w:rsidR="004D16A8">
        <w:t xml:space="preserve"> </w:t>
      </w:r>
      <w:r>
        <w:t>mm</w:t>
      </w:r>
      <w:r>
        <w:tab/>
      </w:r>
      <w:r>
        <w:tab/>
      </w:r>
      <w:r>
        <w:tab/>
      </w:r>
      <w:r>
        <w:tab/>
      </w:r>
      <w:r>
        <w:tab/>
        <w:t xml:space="preserve">plocha: </w:t>
      </w:r>
      <w:r w:rsidR="005E07B6">
        <w:t>121 m2</w:t>
      </w:r>
    </w:p>
    <w:p w14:paraId="2C1A19D8" w14:textId="4702D60A" w:rsidR="00E5488E" w:rsidRDefault="00916389" w:rsidP="00671E78">
      <w:pPr>
        <w:pStyle w:val="Odstavecseseznamem"/>
        <w:numPr>
          <w:ilvl w:val="0"/>
          <w:numId w:val="8"/>
        </w:numPr>
      </w:pPr>
      <w:r>
        <w:t>Odkop stávající zeminy</w:t>
      </w:r>
      <w:r w:rsidR="005D4EEB">
        <w:tab/>
      </w:r>
      <w:r w:rsidR="005D4EEB">
        <w:tab/>
      </w:r>
      <w:r w:rsidR="005D4EEB">
        <w:tab/>
      </w:r>
      <w:r w:rsidR="005D4EEB">
        <w:tab/>
      </w:r>
      <w:r w:rsidR="005D4EEB">
        <w:tab/>
        <w:t>objem: 3,5 m3</w:t>
      </w:r>
    </w:p>
    <w:p w14:paraId="57B0558F" w14:textId="3CAB268F" w:rsidR="005D4EEB" w:rsidRDefault="005D4EEB" w:rsidP="00671E78">
      <w:pPr>
        <w:pStyle w:val="Odstavecseseznamem"/>
        <w:numPr>
          <w:ilvl w:val="0"/>
          <w:numId w:val="8"/>
        </w:numPr>
      </w:pPr>
      <w:r>
        <w:t>Betonová dlažba 20/10 tl. 80 mm šedá</w:t>
      </w:r>
      <w:r>
        <w:tab/>
      </w:r>
      <w:r>
        <w:tab/>
      </w:r>
      <w:r>
        <w:tab/>
        <w:t>plocha: 121 m2</w:t>
      </w:r>
    </w:p>
    <w:p w14:paraId="63306838" w14:textId="38FF409B" w:rsidR="005D4EEB" w:rsidRDefault="00DF669A" w:rsidP="00671E78">
      <w:pPr>
        <w:pStyle w:val="Odstavecseseznamem"/>
        <w:numPr>
          <w:ilvl w:val="0"/>
          <w:numId w:val="8"/>
        </w:numPr>
      </w:pPr>
      <w:r>
        <w:t>Betonová obruba 15/25 + bet.lože C20/25</w:t>
      </w:r>
      <w:r>
        <w:tab/>
      </w:r>
      <w:r>
        <w:tab/>
      </w:r>
      <w:r>
        <w:tab/>
        <w:t xml:space="preserve">délka: </w:t>
      </w:r>
      <w:r w:rsidR="00B465FA">
        <w:t>12 m</w:t>
      </w:r>
    </w:p>
    <w:p w14:paraId="42C0FF25" w14:textId="02D964AD" w:rsidR="00B465FA" w:rsidRDefault="00B465FA" w:rsidP="00671E78">
      <w:pPr>
        <w:pStyle w:val="Odstavecseseznamem"/>
        <w:numPr>
          <w:ilvl w:val="0"/>
          <w:numId w:val="8"/>
        </w:numPr>
      </w:pPr>
      <w:r>
        <w:t>Svahové tvárnice</w:t>
      </w:r>
      <w:r w:rsidR="00DA7C83">
        <w:t>, výška 20-60cm</w:t>
      </w:r>
      <w:r w:rsidR="00DA7C83">
        <w:tab/>
      </w:r>
      <w:r w:rsidR="00DA7C83">
        <w:tab/>
      </w:r>
      <w:r w:rsidR="00DA7C83">
        <w:tab/>
      </w:r>
      <w:r w:rsidR="00DA7C83">
        <w:tab/>
        <w:t xml:space="preserve">délka: </w:t>
      </w:r>
      <w:r w:rsidR="000D6134">
        <w:t>9 m</w:t>
      </w:r>
    </w:p>
    <w:p w14:paraId="0DC92A49" w14:textId="4EB5C94E" w:rsidR="000D6134" w:rsidRDefault="00F64946" w:rsidP="000D6134">
      <w:pPr>
        <w:pStyle w:val="Odstavecseseznamem"/>
        <w:numPr>
          <w:ilvl w:val="1"/>
          <w:numId w:val="8"/>
        </w:numPr>
      </w:pPr>
      <w:r>
        <w:t>Přesné provedení musím být dořešeno na místě</w:t>
      </w:r>
    </w:p>
    <w:p w14:paraId="1012691A" w14:textId="21845F35" w:rsidR="00F64946" w:rsidRPr="00671E78" w:rsidRDefault="00F64946" w:rsidP="00F64946">
      <w:pPr>
        <w:pStyle w:val="Odstavecseseznamem"/>
        <w:numPr>
          <w:ilvl w:val="0"/>
          <w:numId w:val="8"/>
        </w:numPr>
      </w:pPr>
      <w:r>
        <w:t>Zásyp za obrubou/svahovou tvárnicí</w:t>
      </w:r>
      <w:r>
        <w:tab/>
      </w:r>
      <w:r>
        <w:tab/>
      </w:r>
      <w:r>
        <w:tab/>
      </w:r>
      <w:r>
        <w:tab/>
        <w:t>objem: 1 m3</w:t>
      </w:r>
    </w:p>
    <w:p w14:paraId="0A570A6F" w14:textId="77777777" w:rsidR="00671E78" w:rsidRDefault="00671E78">
      <w:pPr>
        <w:pStyle w:val="HEL12"/>
        <w:outlineLvl w:val="1"/>
        <w:rPr>
          <w:b w:val="0"/>
        </w:rPr>
      </w:pPr>
    </w:p>
    <w:p w14:paraId="66B2C7A6" w14:textId="77777777" w:rsidR="001F3CD2" w:rsidRPr="00EA4343" w:rsidRDefault="001F3CD2">
      <w:pPr>
        <w:pStyle w:val="HEL12"/>
        <w:outlineLvl w:val="1"/>
        <w:rPr>
          <w:b w:val="0"/>
        </w:rPr>
      </w:pPr>
    </w:p>
    <w:p w14:paraId="2B8AD5AB" w14:textId="77777777" w:rsidR="00DC09A0" w:rsidRPr="00CA2B21" w:rsidRDefault="0086364D">
      <w:pPr>
        <w:pStyle w:val="Nadpis1"/>
        <w:numPr>
          <w:ilvl w:val="0"/>
          <w:numId w:val="3"/>
        </w:numPr>
      </w:pPr>
      <w:bookmarkStart w:id="22" w:name="_Toc523989822"/>
      <w:bookmarkStart w:id="23" w:name="_Toc313890440"/>
      <w:bookmarkStart w:id="24" w:name="_Toc380392831"/>
      <w:r w:rsidRPr="00CA2B21">
        <w:t>Zemní práce</w:t>
      </w:r>
      <w:bookmarkEnd w:id="22"/>
      <w:bookmarkEnd w:id="23"/>
      <w:bookmarkEnd w:id="24"/>
    </w:p>
    <w:p w14:paraId="2B8AD5AC" w14:textId="77777777" w:rsidR="00DC09A0" w:rsidRPr="00CA2B21" w:rsidRDefault="00DC09A0">
      <w:pPr>
        <w:widowControl w:val="0"/>
        <w:ind w:left="708"/>
        <w:jc w:val="both"/>
        <w:rPr>
          <w:b/>
        </w:rPr>
      </w:pPr>
    </w:p>
    <w:p w14:paraId="2B8AD5AD" w14:textId="77777777" w:rsidR="00DC09A0" w:rsidRPr="00CA2B21" w:rsidRDefault="0086364D">
      <w:pPr>
        <w:ind w:firstLine="0"/>
        <w:jc w:val="both"/>
        <w:rPr>
          <w:rFonts w:ascii="Calibri" w:hAnsi="Calibri" w:cs="Calibri"/>
          <w:b/>
          <w:sz w:val="20"/>
        </w:rPr>
      </w:pPr>
      <w:r w:rsidRPr="00CA2B21">
        <w:rPr>
          <w:rFonts w:ascii="Calibri" w:hAnsi="Calibri" w:cs="Calibri"/>
          <w:sz w:val="20"/>
        </w:rPr>
        <w:t xml:space="preserve">Dle ČSN 72 1006 (Kontrola zhutnění zemin a sypanin) pro zeminy v aktivní zóně platí minimální ověřená míra zhutnění </w:t>
      </w:r>
      <w:r w:rsidRPr="00CA2B21">
        <w:rPr>
          <w:rFonts w:ascii="Calibri" w:hAnsi="Calibri" w:cs="Calibri"/>
          <w:b/>
          <w:sz w:val="20"/>
        </w:rPr>
        <w:t>102% PS</w:t>
      </w:r>
      <w:r w:rsidRPr="00CA2B21">
        <w:rPr>
          <w:rFonts w:ascii="Calibri" w:hAnsi="Calibri" w:cs="Calibri"/>
          <w:sz w:val="20"/>
        </w:rPr>
        <w:t xml:space="preserve"> u zeminy F5 a F6 a </w:t>
      </w:r>
      <w:r w:rsidRPr="00CA2B21">
        <w:rPr>
          <w:rFonts w:ascii="Calibri" w:hAnsi="Calibri" w:cs="Calibri"/>
          <w:b/>
          <w:sz w:val="20"/>
        </w:rPr>
        <w:t>100% PS</w:t>
      </w:r>
      <w:r w:rsidRPr="00CA2B21">
        <w:rPr>
          <w:rFonts w:ascii="Calibri" w:hAnsi="Calibri" w:cs="Calibri"/>
          <w:sz w:val="20"/>
        </w:rPr>
        <w:t xml:space="preserve"> pro ostatní zeminy, resp. </w:t>
      </w:r>
      <w:r w:rsidRPr="00CA2B21">
        <w:rPr>
          <w:rFonts w:ascii="Calibri" w:hAnsi="Calibri" w:cs="Calibri"/>
          <w:b/>
          <w:sz w:val="20"/>
        </w:rPr>
        <w:t>I</w:t>
      </w:r>
      <w:r w:rsidRPr="00CA2B21">
        <w:rPr>
          <w:rFonts w:ascii="Calibri" w:hAnsi="Calibri" w:cs="Calibri"/>
          <w:b/>
          <w:sz w:val="20"/>
          <w:vertAlign w:val="subscript"/>
        </w:rPr>
        <w:t>d</w:t>
      </w:r>
      <w:r w:rsidRPr="00CA2B21">
        <w:rPr>
          <w:rFonts w:ascii="Calibri" w:hAnsi="Calibri" w:cs="Calibri"/>
          <w:b/>
          <w:sz w:val="20"/>
        </w:rPr>
        <w:t xml:space="preserve"> = 0,9</w:t>
      </w:r>
      <w:r w:rsidRPr="00CA2B21">
        <w:rPr>
          <w:rFonts w:ascii="Calibri" w:hAnsi="Calibri" w:cs="Calibri"/>
          <w:sz w:val="20"/>
        </w:rPr>
        <w:t xml:space="preserve"> (nesoudržné zeminy), </w:t>
      </w:r>
      <w:r w:rsidRPr="00CA2B21">
        <w:rPr>
          <w:rFonts w:ascii="Calibri" w:hAnsi="Calibri" w:cs="Calibri"/>
          <w:b/>
          <w:sz w:val="20"/>
        </w:rPr>
        <w:t>95% PS</w:t>
      </w:r>
      <w:r w:rsidRPr="00CA2B21">
        <w:rPr>
          <w:rFonts w:ascii="Calibri" w:hAnsi="Calibri" w:cs="Calibri"/>
          <w:sz w:val="20"/>
        </w:rPr>
        <w:t xml:space="preserve"> (v tělese násypu) resp. </w:t>
      </w:r>
      <w:r w:rsidRPr="00CA2B21">
        <w:rPr>
          <w:rFonts w:ascii="Calibri" w:hAnsi="Calibri" w:cs="Calibri"/>
          <w:b/>
          <w:sz w:val="20"/>
        </w:rPr>
        <w:t>92 % PS</w:t>
      </w:r>
      <w:r w:rsidRPr="00CA2B21">
        <w:rPr>
          <w:rFonts w:ascii="Calibri" w:hAnsi="Calibri" w:cs="Calibri"/>
          <w:sz w:val="20"/>
        </w:rPr>
        <w:t xml:space="preserve"> (v podloží násypu do hloubky 0,50 m). Na zemní pláni vozovky musí být dosaženo předepsaného modulu přetvárnosti </w:t>
      </w:r>
      <w:r w:rsidRPr="00CA2B21">
        <w:rPr>
          <w:rFonts w:ascii="Calibri" w:hAnsi="Calibri" w:cs="Calibri"/>
          <w:b/>
          <w:sz w:val="20"/>
        </w:rPr>
        <w:t>E</w:t>
      </w:r>
      <w:r w:rsidRPr="00CA2B21">
        <w:rPr>
          <w:rFonts w:ascii="Calibri" w:hAnsi="Calibri" w:cs="Calibri"/>
          <w:b/>
          <w:sz w:val="20"/>
          <w:vertAlign w:val="subscript"/>
        </w:rPr>
        <w:t xml:space="preserve">def,2 </w:t>
      </w:r>
      <w:r w:rsidRPr="00CA2B21">
        <w:rPr>
          <w:rFonts w:ascii="Calibri" w:hAnsi="Calibri" w:cs="Calibri"/>
          <w:b/>
          <w:sz w:val="20"/>
        </w:rPr>
        <w:t>= 45 MPa</w:t>
      </w:r>
      <w:r w:rsidRPr="00CA2B21">
        <w:rPr>
          <w:rFonts w:ascii="Calibri" w:hAnsi="Calibri" w:cs="Calibri"/>
          <w:sz w:val="20"/>
        </w:rPr>
        <w:t xml:space="preserve">. </w:t>
      </w:r>
    </w:p>
    <w:p w14:paraId="2B8AD5AE" w14:textId="77777777" w:rsidR="00DC09A0" w:rsidRPr="00CA2B21" w:rsidRDefault="00DC09A0">
      <w:pPr>
        <w:widowControl w:val="0"/>
        <w:ind w:firstLine="0"/>
        <w:jc w:val="both"/>
        <w:rPr>
          <w:rFonts w:ascii="Calibri" w:hAnsi="Calibri" w:cs="Calibri"/>
          <w:sz w:val="20"/>
        </w:rPr>
      </w:pPr>
    </w:p>
    <w:p w14:paraId="2B8AD5AF" w14:textId="77777777" w:rsidR="00DC09A0" w:rsidRPr="00CA2B21" w:rsidRDefault="0086364D">
      <w:pPr>
        <w:pStyle w:val="Zkladntextodsazen"/>
        <w:widowControl w:val="0"/>
        <w:ind w:left="0" w:firstLine="0"/>
        <w:jc w:val="both"/>
        <w:rPr>
          <w:rFonts w:ascii="Calibri" w:hAnsi="Calibri" w:cs="Calibri"/>
          <w:sz w:val="20"/>
          <w:u w:val="single"/>
        </w:rPr>
      </w:pPr>
      <w:r w:rsidRPr="00CA2B21">
        <w:rPr>
          <w:rFonts w:ascii="Calibri" w:hAnsi="Calibri" w:cs="Calibri"/>
          <w:sz w:val="20"/>
          <w:u w:val="single"/>
        </w:rPr>
        <w:t>V rámci sledování kvality zemních prací budou v souladu s výše citovanými předpisy prováděny následující typy zkoušek:</w:t>
      </w:r>
    </w:p>
    <w:p w14:paraId="2B8AD5B0" w14:textId="77777777" w:rsidR="00DC09A0" w:rsidRPr="00CA2B21" w:rsidRDefault="0086364D">
      <w:pPr>
        <w:widowControl w:val="0"/>
        <w:numPr>
          <w:ilvl w:val="0"/>
          <w:numId w:val="4"/>
        </w:numPr>
        <w:ind w:left="0"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lastRenderedPageBreak/>
        <w:t>průkazní (ověření vlastností používaných materiálů, je možné nahradit prohlášením o shodě)</w:t>
      </w:r>
    </w:p>
    <w:p w14:paraId="2B8AD5B1" w14:textId="77777777" w:rsidR="00DC09A0" w:rsidRPr="00CA2B21" w:rsidRDefault="0086364D">
      <w:pPr>
        <w:widowControl w:val="0"/>
        <w:numPr>
          <w:ilvl w:val="0"/>
          <w:numId w:val="4"/>
        </w:numPr>
        <w:ind w:left="0"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kontrolní (pro ověření shody s průkazními zkouškami během výstavby)</w:t>
      </w:r>
    </w:p>
    <w:p w14:paraId="2B8AD5B2" w14:textId="77777777" w:rsidR="00DC09A0" w:rsidRPr="00CA2B21" w:rsidRDefault="0086364D">
      <w:pPr>
        <w:widowControl w:val="0"/>
        <w:numPr>
          <w:ilvl w:val="0"/>
          <w:numId w:val="4"/>
        </w:numPr>
        <w:ind w:left="0"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přejímací (v závislosti na požadavcích investora)</w:t>
      </w:r>
    </w:p>
    <w:p w14:paraId="2B8AD5B3" w14:textId="77777777" w:rsidR="00DC09A0" w:rsidRPr="00CA2B21" w:rsidRDefault="0086364D">
      <w:pPr>
        <w:widowControl w:val="0"/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Druh (např. vlhkost, míra zhutnění, atd.) a četnost zkoušek jsou uvedeny v ČSN 73 6133.</w:t>
      </w:r>
    </w:p>
    <w:p w14:paraId="2B8AD5B4" w14:textId="77777777" w:rsidR="00DC09A0" w:rsidRPr="00CA2B21" w:rsidRDefault="0086364D">
      <w:pPr>
        <w:pStyle w:val="HEL11"/>
        <w:rPr>
          <w:rFonts w:cs="Calibri"/>
          <w:sz w:val="20"/>
        </w:rPr>
      </w:pPr>
      <w:r w:rsidRPr="00CA2B21">
        <w:rPr>
          <w:rFonts w:cs="Calibri"/>
          <w:sz w:val="20"/>
        </w:rPr>
        <w:t xml:space="preserve">Zemina v aktivní zóně musí odpovídat normě ČSN 73 6133. </w:t>
      </w:r>
    </w:p>
    <w:p w14:paraId="2B8AD5B5" w14:textId="77777777" w:rsidR="00DC09A0" w:rsidRPr="001511FA" w:rsidRDefault="00DC09A0">
      <w:pPr>
        <w:pStyle w:val="HEL11"/>
        <w:rPr>
          <w:rFonts w:cs="Calibri"/>
          <w:b w:val="0"/>
          <w:sz w:val="20"/>
          <w:highlight w:val="yellow"/>
        </w:rPr>
      </w:pPr>
    </w:p>
    <w:p w14:paraId="2B8AD5B7" w14:textId="77777777" w:rsidR="00DC09A0" w:rsidRPr="00CA2B21" w:rsidRDefault="0086364D">
      <w:pPr>
        <w:pStyle w:val="Nadpis1"/>
        <w:numPr>
          <w:ilvl w:val="0"/>
          <w:numId w:val="3"/>
        </w:numPr>
      </w:pPr>
      <w:bookmarkStart w:id="25" w:name="_Toc523989823"/>
      <w:bookmarkStart w:id="26" w:name="_Toc313890441"/>
      <w:bookmarkStart w:id="27" w:name="_Toc380392835"/>
      <w:r w:rsidRPr="00CA2B21">
        <w:t>Inženýrské sítě</w:t>
      </w:r>
      <w:bookmarkEnd w:id="25"/>
      <w:bookmarkEnd w:id="26"/>
      <w:bookmarkEnd w:id="27"/>
    </w:p>
    <w:p w14:paraId="2B8AD5B8" w14:textId="77777777" w:rsidR="00DC09A0" w:rsidRPr="00CA2B21" w:rsidRDefault="00DC09A0">
      <w:pPr>
        <w:ind w:left="708"/>
        <w:jc w:val="both"/>
        <w:rPr>
          <w:u w:val="single"/>
        </w:rPr>
      </w:pPr>
    </w:p>
    <w:p w14:paraId="2B8AD5B9" w14:textId="77777777" w:rsidR="00DC09A0" w:rsidRDefault="0086364D">
      <w:p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Poloha všech stávajících inženýrských sítí je v dokumentaci vyznačena pouze informativně dle zaměření. Před zahájením stavebních prací je nutno jejich průběh vytyčit, viditelně označit a dbát všech odpovídajících předpisů. Vytyčení všech sítí musí zajistit zhotovitel stavby.</w:t>
      </w:r>
    </w:p>
    <w:p w14:paraId="2B8AD5BA" w14:textId="77777777" w:rsidR="00DC09A0" w:rsidRPr="001511FA" w:rsidRDefault="00DC09A0">
      <w:pPr>
        <w:ind w:firstLine="0"/>
        <w:jc w:val="both"/>
        <w:rPr>
          <w:rFonts w:ascii="Calibri" w:hAnsi="Calibri" w:cs="Calibri"/>
          <w:sz w:val="20"/>
          <w:highlight w:val="yellow"/>
        </w:rPr>
      </w:pPr>
    </w:p>
    <w:p w14:paraId="2B8AD5BF" w14:textId="77777777" w:rsidR="00DC09A0" w:rsidRPr="00CA2B21" w:rsidRDefault="0086364D">
      <w:pPr>
        <w:pStyle w:val="Nadpis1"/>
        <w:numPr>
          <w:ilvl w:val="0"/>
          <w:numId w:val="3"/>
        </w:numPr>
      </w:pPr>
      <w:bookmarkStart w:id="28" w:name="_Toc523989826"/>
      <w:bookmarkStart w:id="29" w:name="_Toc313541690"/>
      <w:bookmarkStart w:id="30" w:name="_Toc313884706"/>
      <w:bookmarkStart w:id="31" w:name="_Toc313890447"/>
      <w:bookmarkStart w:id="32" w:name="_Toc380392839"/>
      <w:r w:rsidRPr="00CA2B21">
        <w:t>Vytyčení</w:t>
      </w:r>
      <w:bookmarkEnd w:id="28"/>
      <w:bookmarkEnd w:id="29"/>
      <w:bookmarkEnd w:id="30"/>
      <w:bookmarkEnd w:id="31"/>
      <w:bookmarkEnd w:id="32"/>
    </w:p>
    <w:p w14:paraId="2B8AD5C0" w14:textId="77777777" w:rsidR="00DC09A0" w:rsidRPr="00CA2B21" w:rsidRDefault="00DC09A0">
      <w:pPr>
        <w:keepNext/>
        <w:ind w:left="709"/>
        <w:jc w:val="both"/>
        <w:rPr>
          <w:rFonts w:ascii="Calibri" w:hAnsi="Calibri" w:cs="Calibri"/>
        </w:rPr>
      </w:pPr>
    </w:p>
    <w:p w14:paraId="2B8AD5C1" w14:textId="77777777" w:rsidR="00DC09A0" w:rsidRPr="00CA2B21" w:rsidRDefault="0086364D">
      <w:pPr>
        <w:pStyle w:val="Zkladntext"/>
        <w:spacing w:line="240" w:lineRule="auto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Stavba bude vytyčena na základy vytyčovacích bodu v soustavě JTSK, BpV.</w:t>
      </w:r>
    </w:p>
    <w:p w14:paraId="2B8AD5C2" w14:textId="77777777" w:rsidR="00DC09A0" w:rsidRPr="00CA2B21" w:rsidRDefault="00DC09A0">
      <w:pPr>
        <w:pStyle w:val="Zkladntext"/>
        <w:spacing w:line="240" w:lineRule="auto"/>
        <w:rPr>
          <w:rFonts w:ascii="Calibri" w:hAnsi="Calibri" w:cs="Calibri"/>
          <w:sz w:val="20"/>
        </w:rPr>
      </w:pPr>
    </w:p>
    <w:p w14:paraId="2B8AD5C3" w14:textId="77777777" w:rsidR="00DC09A0" w:rsidRPr="00CA2B21" w:rsidRDefault="0086364D">
      <w:pPr>
        <w:pStyle w:val="Nadpis1"/>
        <w:numPr>
          <w:ilvl w:val="0"/>
          <w:numId w:val="3"/>
        </w:numPr>
      </w:pPr>
      <w:bookmarkStart w:id="33" w:name="_Toc523989827"/>
      <w:bookmarkStart w:id="34" w:name="_Toc313890448"/>
      <w:bookmarkStart w:id="35" w:name="_Toc380392840"/>
      <w:r w:rsidRPr="00CA2B21">
        <w:t>Zajištění bezpečnosti provozu stavby při jejím užívání</w:t>
      </w:r>
      <w:bookmarkEnd w:id="33"/>
      <w:bookmarkEnd w:id="34"/>
      <w:bookmarkEnd w:id="35"/>
    </w:p>
    <w:p w14:paraId="2B8AD5C4" w14:textId="77777777" w:rsidR="00DC09A0" w:rsidRPr="00CA2B21" w:rsidRDefault="00DC09A0"/>
    <w:p w14:paraId="2B8AD5C5" w14:textId="77777777" w:rsidR="00DC09A0" w:rsidRPr="00CA2B21" w:rsidRDefault="0086364D">
      <w:pPr>
        <w:pStyle w:val="Zkladntext"/>
        <w:spacing w:line="240" w:lineRule="auto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Při práci je nutné dodržovat vyhlášku č. 591/2006 sbírky, Ochrana a bezpečnost zdraví na staveništi. Dále je nutné dodržovat technologické postupy a technické předpisy pro jednotlivé druhy prací. Při realizaci je nutné, aby dodavatel využíval veškeré zařízení jen pro ty účely, pro které jsou navrženy, a dodržoval zásady určené v této části dokumentace. Při provádění stavebních prací je nutné dodržovat všechny bezpečnostní předpisy ve stavebnictví a respektovat zejména:</w:t>
      </w:r>
    </w:p>
    <w:p w14:paraId="2B8AD5C6" w14:textId="77777777" w:rsidR="00DC09A0" w:rsidRPr="00CA2B21" w:rsidRDefault="00DC09A0">
      <w:pPr>
        <w:pStyle w:val="Zkladntext"/>
        <w:spacing w:line="240" w:lineRule="auto"/>
        <w:rPr>
          <w:rFonts w:ascii="Calibri" w:hAnsi="Calibri" w:cs="Calibri"/>
          <w:sz w:val="20"/>
        </w:rPr>
      </w:pPr>
    </w:p>
    <w:p w14:paraId="2B8AD5C7" w14:textId="77777777" w:rsidR="00DC09A0" w:rsidRPr="00CA2B21" w:rsidRDefault="0086364D">
      <w:pPr>
        <w:pStyle w:val="Zkladntext"/>
        <w:spacing w:line="240" w:lineRule="auto"/>
        <w:ind w:left="709" w:hanging="709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 xml:space="preserve">a) </w:t>
      </w:r>
      <w:r w:rsidRPr="00CA2B21">
        <w:rPr>
          <w:rFonts w:ascii="Calibri" w:hAnsi="Calibri" w:cs="Calibri"/>
          <w:sz w:val="20"/>
        </w:rPr>
        <w:tab/>
        <w:t>Ochranu proti hluku a vibracím. Dodavatel stavebních prací je povinen používat především stroje a mechanismy v dobrém technickém stavu a jejich hlučnost nepřekračuje hodnoty stanovené v technickém osvědčení.</w:t>
      </w:r>
    </w:p>
    <w:p w14:paraId="2B8AD5C8" w14:textId="77777777" w:rsidR="00DC09A0" w:rsidRPr="00CA2B21" w:rsidRDefault="0086364D">
      <w:pPr>
        <w:pStyle w:val="Zkladntext"/>
        <w:spacing w:line="240" w:lineRule="auto"/>
        <w:ind w:left="709" w:hanging="709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 xml:space="preserve">c) </w:t>
      </w:r>
      <w:r w:rsidRPr="00CA2B21">
        <w:rPr>
          <w:rFonts w:ascii="Calibri" w:hAnsi="Calibri" w:cs="Calibri"/>
          <w:sz w:val="20"/>
        </w:rPr>
        <w:tab/>
        <w:t>Ochranu proti znečištění povrchových i podzemních vod. Po dobu výstavby je nutno při provádění stavebních prací a provozu zařízení staveniště vhodným způsobem zabezpečit, aby nemohlo dojít ke znečištění vodního toku. Jedná se zejména o vhodný způsob odvádění dešťových vod z provozních, výrobních a skladovacích ploch staveniště.</w:t>
      </w:r>
    </w:p>
    <w:p w14:paraId="2B8AD5C9" w14:textId="77777777" w:rsidR="00DC09A0" w:rsidRPr="00CA2B21" w:rsidRDefault="0086364D">
      <w:pPr>
        <w:ind w:left="709" w:hanging="709"/>
        <w:jc w:val="both"/>
        <w:rPr>
          <w:rFonts w:ascii="Calibri" w:hAnsi="Calibri" w:cs="Calibri"/>
          <w:sz w:val="20"/>
          <w:szCs w:val="20"/>
        </w:rPr>
      </w:pPr>
      <w:r w:rsidRPr="00CA2B21">
        <w:rPr>
          <w:rFonts w:ascii="Calibri" w:hAnsi="Calibri" w:cs="Calibri"/>
          <w:sz w:val="20"/>
          <w:szCs w:val="20"/>
        </w:rPr>
        <w:t xml:space="preserve">d) </w:t>
      </w:r>
      <w:r w:rsidRPr="00CA2B21">
        <w:rPr>
          <w:rFonts w:ascii="Calibri" w:hAnsi="Calibri" w:cs="Calibri"/>
          <w:sz w:val="20"/>
          <w:szCs w:val="20"/>
        </w:rPr>
        <w:tab/>
        <w:t>Ochrana stávající zeleně.</w:t>
      </w:r>
    </w:p>
    <w:p w14:paraId="2B8AD5CA" w14:textId="77777777" w:rsidR="00DC09A0" w:rsidRPr="001511FA" w:rsidRDefault="00DC09A0">
      <w:pPr>
        <w:jc w:val="both"/>
        <w:rPr>
          <w:b/>
          <w:sz w:val="24"/>
          <w:highlight w:val="yellow"/>
        </w:rPr>
      </w:pPr>
    </w:p>
    <w:p w14:paraId="2B8AD5CB" w14:textId="77777777" w:rsidR="00DC09A0" w:rsidRPr="00CA2B21" w:rsidRDefault="0086364D">
      <w:pPr>
        <w:pStyle w:val="Nadpis1"/>
        <w:numPr>
          <w:ilvl w:val="0"/>
          <w:numId w:val="3"/>
        </w:numPr>
      </w:pPr>
      <w:bookmarkStart w:id="36" w:name="_Toc523989828"/>
      <w:bookmarkStart w:id="37" w:name="_Toc313541692"/>
      <w:bookmarkStart w:id="38" w:name="_Toc313884708"/>
      <w:bookmarkStart w:id="39" w:name="_Toc313890449"/>
      <w:bookmarkStart w:id="40" w:name="_Toc380392841"/>
      <w:r w:rsidRPr="00CA2B21">
        <w:t>Základní technologické požadavky</w:t>
      </w:r>
      <w:bookmarkEnd w:id="36"/>
      <w:bookmarkEnd w:id="37"/>
      <w:bookmarkEnd w:id="38"/>
      <w:bookmarkEnd w:id="39"/>
      <w:bookmarkEnd w:id="40"/>
    </w:p>
    <w:p w14:paraId="2B8AD5CC" w14:textId="77777777" w:rsidR="00DC09A0" w:rsidRPr="00CA2B21" w:rsidRDefault="00DC09A0">
      <w:pPr>
        <w:keepNext/>
        <w:ind w:left="709"/>
        <w:jc w:val="both"/>
        <w:rPr>
          <w:rFonts w:ascii="Calibri" w:hAnsi="Calibri" w:cs="Calibri"/>
        </w:rPr>
      </w:pPr>
    </w:p>
    <w:p w14:paraId="2B8AD5CD" w14:textId="77777777" w:rsidR="00DC09A0" w:rsidRPr="00CA2B21" w:rsidRDefault="0086364D">
      <w:pPr>
        <w:widowControl w:val="0"/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 xml:space="preserve">Při realizaci musí být v plném rozsahu dodržovány příslušné Technické kvalitativní podmínky (TKP) staveb pozemních komunikací. Požadavky na kvalitu a zásady zkoušení jsou podrobně v těchto TKP specifikovány. </w:t>
      </w:r>
    </w:p>
    <w:p w14:paraId="2B8AD5CE" w14:textId="77777777" w:rsidR="00DC09A0" w:rsidRPr="00CA2B21" w:rsidRDefault="0086364D">
      <w:pPr>
        <w:widowControl w:val="0"/>
        <w:ind w:firstLine="0"/>
        <w:jc w:val="both"/>
        <w:rPr>
          <w:rFonts w:ascii="Calibri" w:hAnsi="Calibri" w:cs="Calibri"/>
          <w:sz w:val="20"/>
          <w:u w:val="single"/>
        </w:rPr>
      </w:pPr>
      <w:r w:rsidRPr="00CA2B21">
        <w:rPr>
          <w:rFonts w:ascii="Calibri" w:hAnsi="Calibri" w:cs="Calibri"/>
          <w:sz w:val="20"/>
          <w:u w:val="single"/>
        </w:rPr>
        <w:t>Zejména TKP:</w:t>
      </w:r>
    </w:p>
    <w:p w14:paraId="2B8AD5CF" w14:textId="77777777" w:rsidR="00DC09A0" w:rsidRPr="00CA2B21" w:rsidRDefault="0086364D">
      <w:pPr>
        <w:widowControl w:val="0"/>
        <w:numPr>
          <w:ilvl w:val="0"/>
          <w:numId w:val="4"/>
        </w:numPr>
        <w:tabs>
          <w:tab w:val="left" w:pos="142"/>
        </w:tabs>
        <w:ind w:left="0" w:firstLine="0"/>
        <w:jc w:val="both"/>
      </w:pPr>
      <w:r w:rsidRPr="00CA2B21">
        <w:rPr>
          <w:rFonts w:ascii="Calibri" w:hAnsi="Calibri" w:cs="Calibri"/>
          <w:sz w:val="20"/>
        </w:rPr>
        <w:t xml:space="preserve">1 - </w:t>
      </w:r>
      <w:hyperlink r:id="rId8">
        <w:r w:rsidRPr="00CA2B21">
          <w:rPr>
            <w:rStyle w:val="Internetovodkaz"/>
            <w:rFonts w:ascii="Calibri" w:hAnsi="Calibri" w:cs="Calibri"/>
            <w:color w:val="auto"/>
            <w:sz w:val="20"/>
          </w:rPr>
          <w:t>Všeobecně (vč. příloh 1 – 9)</w:t>
        </w:r>
      </w:hyperlink>
    </w:p>
    <w:p w14:paraId="2B8AD5D0" w14:textId="77777777" w:rsidR="00DC09A0" w:rsidRPr="00CA2B21" w:rsidRDefault="0086364D">
      <w:pPr>
        <w:widowControl w:val="0"/>
        <w:numPr>
          <w:ilvl w:val="0"/>
          <w:numId w:val="4"/>
        </w:numPr>
        <w:tabs>
          <w:tab w:val="left" w:pos="142"/>
        </w:tabs>
        <w:ind w:left="0" w:firstLine="0"/>
        <w:jc w:val="both"/>
      </w:pPr>
      <w:r w:rsidRPr="00CA2B21">
        <w:rPr>
          <w:rFonts w:ascii="Calibri" w:hAnsi="Calibri" w:cs="Calibri"/>
          <w:sz w:val="20"/>
        </w:rPr>
        <w:t xml:space="preserve">2 - </w:t>
      </w:r>
      <w:hyperlink r:id="rId9">
        <w:r w:rsidRPr="00CA2B21">
          <w:rPr>
            <w:rStyle w:val="Internetovodkaz"/>
            <w:rFonts w:ascii="Calibri" w:hAnsi="Calibri" w:cs="Calibri"/>
            <w:color w:val="auto"/>
            <w:sz w:val="20"/>
          </w:rPr>
          <w:t>Příprava staveniště</w:t>
        </w:r>
      </w:hyperlink>
    </w:p>
    <w:p w14:paraId="2B8AD5D1" w14:textId="77777777" w:rsidR="00DC09A0" w:rsidRPr="00CA2B21" w:rsidRDefault="0086364D">
      <w:pPr>
        <w:widowControl w:val="0"/>
        <w:numPr>
          <w:ilvl w:val="0"/>
          <w:numId w:val="4"/>
        </w:numPr>
        <w:tabs>
          <w:tab w:val="left" w:pos="142"/>
        </w:tabs>
        <w:ind w:left="0" w:firstLine="0"/>
        <w:jc w:val="both"/>
      </w:pPr>
      <w:r w:rsidRPr="00CA2B21">
        <w:rPr>
          <w:rFonts w:ascii="Calibri" w:hAnsi="Calibri" w:cs="Calibri"/>
          <w:sz w:val="20"/>
        </w:rPr>
        <w:t xml:space="preserve">3 - </w:t>
      </w:r>
      <w:hyperlink r:id="rId10">
        <w:r w:rsidRPr="00CA2B21">
          <w:rPr>
            <w:rStyle w:val="Internetovodkaz"/>
            <w:rFonts w:ascii="Calibri" w:hAnsi="Calibri" w:cs="Calibri"/>
            <w:color w:val="auto"/>
            <w:sz w:val="20"/>
          </w:rPr>
          <w:t>Odvodnění a chráničky pro inženýrské sítě</w:t>
        </w:r>
      </w:hyperlink>
    </w:p>
    <w:p w14:paraId="2B8AD5D2" w14:textId="77777777" w:rsidR="00DC09A0" w:rsidRPr="00CA2B21" w:rsidRDefault="0086364D">
      <w:pPr>
        <w:widowControl w:val="0"/>
        <w:numPr>
          <w:ilvl w:val="0"/>
          <w:numId w:val="4"/>
        </w:numPr>
        <w:tabs>
          <w:tab w:val="left" w:pos="142"/>
        </w:tabs>
        <w:ind w:left="0" w:firstLine="0"/>
        <w:jc w:val="both"/>
      </w:pPr>
      <w:r w:rsidRPr="00CA2B21">
        <w:rPr>
          <w:rFonts w:ascii="Calibri" w:hAnsi="Calibri" w:cs="Calibri"/>
          <w:sz w:val="20"/>
        </w:rPr>
        <w:t xml:space="preserve">4 - </w:t>
      </w:r>
      <w:hyperlink r:id="rId11">
        <w:r w:rsidRPr="00CA2B21">
          <w:rPr>
            <w:rStyle w:val="Internetovodkaz"/>
            <w:rFonts w:ascii="Calibri" w:hAnsi="Calibri" w:cs="Calibri"/>
            <w:color w:val="auto"/>
            <w:sz w:val="20"/>
          </w:rPr>
          <w:t>Zemní práce</w:t>
        </w:r>
      </w:hyperlink>
    </w:p>
    <w:p w14:paraId="2B8AD5D3" w14:textId="77777777" w:rsidR="00DC09A0" w:rsidRPr="00CA2B21" w:rsidRDefault="0086364D">
      <w:pPr>
        <w:widowControl w:val="0"/>
        <w:numPr>
          <w:ilvl w:val="0"/>
          <w:numId w:val="4"/>
        </w:numPr>
        <w:tabs>
          <w:tab w:val="left" w:pos="142"/>
        </w:tabs>
        <w:ind w:left="0" w:firstLine="0"/>
        <w:jc w:val="both"/>
      </w:pPr>
      <w:r w:rsidRPr="00CA2B21">
        <w:rPr>
          <w:rFonts w:ascii="Calibri" w:hAnsi="Calibri" w:cs="Calibri"/>
          <w:sz w:val="20"/>
        </w:rPr>
        <w:t xml:space="preserve">10 - </w:t>
      </w:r>
      <w:hyperlink r:id="rId12">
        <w:r w:rsidRPr="00CA2B21">
          <w:rPr>
            <w:rStyle w:val="Internetovodkaz"/>
            <w:rFonts w:ascii="Calibri" w:hAnsi="Calibri" w:cs="Calibri"/>
            <w:color w:val="auto"/>
            <w:sz w:val="20"/>
          </w:rPr>
          <w:t>Obrubníky, krajníky, chodníky a dopravní plochy</w:t>
        </w:r>
      </w:hyperlink>
    </w:p>
    <w:p w14:paraId="2B8AD5D4" w14:textId="77777777" w:rsidR="00DC09A0" w:rsidRPr="00CA2B21" w:rsidRDefault="0086364D">
      <w:pPr>
        <w:widowControl w:val="0"/>
        <w:numPr>
          <w:ilvl w:val="0"/>
          <w:numId w:val="4"/>
        </w:numPr>
        <w:tabs>
          <w:tab w:val="left" w:pos="142"/>
        </w:tabs>
        <w:ind w:left="0" w:firstLine="0"/>
        <w:jc w:val="both"/>
      </w:pPr>
      <w:r w:rsidRPr="00CA2B21">
        <w:rPr>
          <w:rFonts w:ascii="Calibri" w:hAnsi="Calibri" w:cs="Calibri"/>
          <w:sz w:val="20"/>
        </w:rPr>
        <w:t xml:space="preserve">13 - </w:t>
      </w:r>
      <w:hyperlink r:id="rId13">
        <w:r w:rsidRPr="00CA2B21">
          <w:rPr>
            <w:rStyle w:val="Internetovodkaz"/>
            <w:rFonts w:ascii="Calibri" w:hAnsi="Calibri" w:cs="Calibri"/>
            <w:color w:val="auto"/>
            <w:sz w:val="20"/>
          </w:rPr>
          <w:t>Vegetační úpravy</w:t>
        </w:r>
      </w:hyperlink>
    </w:p>
    <w:p w14:paraId="2B8AD5D5" w14:textId="77777777" w:rsidR="00DC09A0" w:rsidRPr="00CA2B21" w:rsidRDefault="0086364D">
      <w:pPr>
        <w:widowControl w:val="0"/>
        <w:numPr>
          <w:ilvl w:val="0"/>
          <w:numId w:val="4"/>
        </w:numPr>
        <w:tabs>
          <w:tab w:val="left" w:pos="142"/>
        </w:tabs>
        <w:ind w:left="0"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18 - Beton pro konstrukce (vč. 10 příloh)</w:t>
      </w:r>
    </w:p>
    <w:p w14:paraId="2B8AD5D6" w14:textId="77777777" w:rsidR="00DC09A0" w:rsidRPr="00CA2B21" w:rsidRDefault="00DC09A0">
      <w:pPr>
        <w:widowControl w:val="0"/>
        <w:ind w:firstLine="0"/>
        <w:jc w:val="both"/>
        <w:rPr>
          <w:rFonts w:ascii="Calibri" w:hAnsi="Calibri" w:cs="Calibri"/>
        </w:rPr>
      </w:pPr>
    </w:p>
    <w:p w14:paraId="2B8AD5D7" w14:textId="77777777" w:rsidR="00DC09A0" w:rsidRPr="00CA2B21" w:rsidRDefault="0086364D">
      <w:pPr>
        <w:pStyle w:val="Nadpis1"/>
        <w:keepNext w:val="0"/>
        <w:widowControl w:val="0"/>
        <w:numPr>
          <w:ilvl w:val="0"/>
          <w:numId w:val="0"/>
        </w:numPr>
        <w:ind w:firstLine="567"/>
        <w:rPr>
          <w:rFonts w:ascii="Calibri" w:hAnsi="Calibri" w:cs="Calibri"/>
          <w:sz w:val="20"/>
        </w:rPr>
      </w:pPr>
      <w:bookmarkStart w:id="41" w:name="_Toc523989829"/>
      <w:bookmarkStart w:id="42" w:name="_Toc482517806"/>
      <w:bookmarkStart w:id="43" w:name="_Toc446055940"/>
      <w:bookmarkStart w:id="44" w:name="_Toc429297652"/>
      <w:bookmarkStart w:id="45" w:name="_Toc409009351"/>
      <w:bookmarkStart w:id="46" w:name="_Toc399273317"/>
      <w:bookmarkStart w:id="47" w:name="_Toc272221556"/>
      <w:bookmarkStart w:id="48" w:name="_Toc272314602"/>
      <w:bookmarkStart w:id="49" w:name="_Toc272314678"/>
      <w:bookmarkStart w:id="50" w:name="_Toc272314778"/>
      <w:bookmarkStart w:id="51" w:name="_Toc272335107"/>
      <w:bookmarkStart w:id="52" w:name="_Toc313259737"/>
      <w:bookmarkStart w:id="53" w:name="_Toc313541693"/>
      <w:bookmarkStart w:id="54" w:name="_Toc313884709"/>
      <w:bookmarkStart w:id="55" w:name="_Toc313890284"/>
      <w:bookmarkStart w:id="56" w:name="_Toc313890450"/>
      <w:bookmarkStart w:id="57" w:name="_Toc313890510"/>
      <w:bookmarkStart w:id="58" w:name="_Toc313948325"/>
      <w:bookmarkStart w:id="59" w:name="_Toc319485554"/>
      <w:bookmarkStart w:id="60" w:name="_Toc345316658"/>
      <w:bookmarkStart w:id="61" w:name="_Toc350258467"/>
      <w:bookmarkStart w:id="62" w:name="_Toc354214407"/>
      <w:bookmarkStart w:id="63" w:name="_Toc364689578"/>
      <w:bookmarkStart w:id="64" w:name="_Toc372019956"/>
      <w:bookmarkStart w:id="65" w:name="_Toc380392842"/>
      <w:r w:rsidRPr="00CA2B21">
        <w:rPr>
          <w:rFonts w:ascii="Calibri" w:hAnsi="Calibri" w:cs="Calibri"/>
          <w:b w:val="0"/>
          <w:bCs w:val="0"/>
          <w:sz w:val="20"/>
        </w:rPr>
        <w:t>Dále musí být dodrženy podmínky stanovené v Technických podmínkách (TP) a ve Vzorových listech (VL), zejména: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2B8AD5D8" w14:textId="77777777" w:rsidR="00DC09A0" w:rsidRPr="00CA2B21" w:rsidRDefault="0086364D">
      <w:p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TP 170 -</w:t>
      </w:r>
      <w:r w:rsidRPr="00CA2B21">
        <w:rPr>
          <w:rFonts w:ascii="Calibri" w:hAnsi="Calibri" w:cs="Calibri"/>
          <w:sz w:val="20"/>
        </w:rPr>
        <w:tab/>
        <w:t>Navrhování vozovek pozemních komunikací</w:t>
      </w:r>
    </w:p>
    <w:p w14:paraId="2B8AD5D9" w14:textId="77777777" w:rsidR="00DC09A0" w:rsidRPr="00CA2B21" w:rsidRDefault="0086364D">
      <w:p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TP 83 -  Odvodnění pozemních komunikací</w:t>
      </w:r>
    </w:p>
    <w:p w14:paraId="2B8AD5DA" w14:textId="77777777" w:rsidR="00DC09A0" w:rsidRPr="00CA2B21" w:rsidRDefault="0086364D">
      <w:p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VL 2.2 – Odvodnění</w:t>
      </w:r>
    </w:p>
    <w:p w14:paraId="2B8AD5DB" w14:textId="77777777" w:rsidR="00DC09A0" w:rsidRPr="00CA2B21" w:rsidRDefault="0086364D">
      <w:p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VL 2 – Silniční těleso</w:t>
      </w:r>
    </w:p>
    <w:p w14:paraId="2B8AD5DC" w14:textId="77777777" w:rsidR="00DC09A0" w:rsidRPr="00CA2B21" w:rsidRDefault="00DC09A0">
      <w:pPr>
        <w:pStyle w:val="Zhlav"/>
        <w:tabs>
          <w:tab w:val="left" w:pos="708"/>
        </w:tabs>
        <w:jc w:val="both"/>
        <w:rPr>
          <w:rFonts w:ascii="Calibri" w:hAnsi="Calibri" w:cs="Calibri"/>
        </w:rPr>
      </w:pPr>
    </w:p>
    <w:p w14:paraId="2B8AD5DD" w14:textId="77777777" w:rsidR="00DC09A0" w:rsidRPr="00CA2B21" w:rsidRDefault="0086364D">
      <w:pPr>
        <w:widowControl w:val="0"/>
        <w:ind w:firstLine="0"/>
        <w:jc w:val="both"/>
        <w:rPr>
          <w:rFonts w:ascii="Calibri" w:hAnsi="Calibri" w:cs="Calibri"/>
          <w:sz w:val="20"/>
          <w:u w:val="single"/>
        </w:rPr>
      </w:pPr>
      <w:r w:rsidRPr="00CA2B21">
        <w:rPr>
          <w:rFonts w:ascii="Calibri" w:hAnsi="Calibri" w:cs="Calibri"/>
          <w:sz w:val="20"/>
          <w:u w:val="single"/>
        </w:rPr>
        <w:t>Zemní těleso, aktivní zóna, zemní pláň:</w:t>
      </w:r>
    </w:p>
    <w:p w14:paraId="2B8AD5DE" w14:textId="77777777" w:rsidR="00DC09A0" w:rsidRPr="00CA2B21" w:rsidRDefault="0086364D">
      <w:p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 xml:space="preserve">Pro zemní práce platí ustanovení ZTKP, TKP (zejména kap. 4), ČSN (zejména ČSN 73 6133), příslušné TP (zejména TP 76, TP 94, TP 97), vzorové listy pozemních komunikací a předpisy uvedené v ZTKP a TKP. </w:t>
      </w:r>
    </w:p>
    <w:p w14:paraId="2B8AD5DF" w14:textId="77777777" w:rsidR="00DC09A0" w:rsidRPr="00CA2B21" w:rsidRDefault="00DC09A0">
      <w:pPr>
        <w:widowControl w:val="0"/>
        <w:ind w:firstLine="0"/>
        <w:jc w:val="both"/>
        <w:rPr>
          <w:rFonts w:ascii="Calibri" w:hAnsi="Calibri" w:cs="Calibri"/>
          <w:u w:val="single"/>
        </w:rPr>
      </w:pPr>
    </w:p>
    <w:p w14:paraId="2B8AD5E0" w14:textId="77777777" w:rsidR="00DC09A0" w:rsidRPr="00CA2B21" w:rsidRDefault="0086364D">
      <w:pPr>
        <w:widowControl w:val="0"/>
        <w:ind w:firstLine="0"/>
        <w:jc w:val="both"/>
        <w:rPr>
          <w:rFonts w:ascii="Calibri" w:hAnsi="Calibri" w:cs="Calibri"/>
          <w:sz w:val="20"/>
          <w:u w:val="single"/>
        </w:rPr>
      </w:pPr>
      <w:r w:rsidRPr="00CA2B21">
        <w:rPr>
          <w:rFonts w:ascii="Calibri" w:hAnsi="Calibri" w:cs="Calibri"/>
          <w:sz w:val="20"/>
          <w:u w:val="single"/>
        </w:rPr>
        <w:t>Další požadavky:</w:t>
      </w:r>
    </w:p>
    <w:p w14:paraId="2B8AD5E1" w14:textId="77777777" w:rsidR="00DC09A0" w:rsidRPr="00CA2B21" w:rsidRDefault="0086364D">
      <w:pPr>
        <w:widowControl w:val="0"/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Stavba vozovek - Nestmelené vrstvy</w:t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  <w:t>ČSN 73 6126</w:t>
      </w:r>
    </w:p>
    <w:p w14:paraId="2B8AD5E2" w14:textId="77777777" w:rsidR="00DC09A0" w:rsidRPr="00CA2B21" w:rsidRDefault="0086364D">
      <w:pPr>
        <w:widowControl w:val="0"/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Návrh a provádění zemního tělesa pozemních komunikací</w:t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  <w:t>ČSN 73 6133</w:t>
      </w:r>
    </w:p>
    <w:p w14:paraId="2B8AD5E3" w14:textId="77777777" w:rsidR="00DC09A0" w:rsidRPr="00CA2B21" w:rsidRDefault="0086364D">
      <w:pPr>
        <w:widowControl w:val="0"/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Stavba vozovek – Kryty z dlažeb a dílců</w:t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</w:r>
      <w:r w:rsidRPr="00CA2B21">
        <w:rPr>
          <w:rFonts w:ascii="Calibri" w:hAnsi="Calibri" w:cs="Calibri"/>
          <w:sz w:val="20"/>
        </w:rPr>
        <w:tab/>
        <w:t>ČSN 73 6131</w:t>
      </w:r>
    </w:p>
    <w:p w14:paraId="2B8AD5E4" w14:textId="77777777" w:rsidR="00DC09A0" w:rsidRPr="001511FA" w:rsidRDefault="00DC09A0">
      <w:pPr>
        <w:jc w:val="both"/>
        <w:rPr>
          <w:b/>
          <w:sz w:val="24"/>
          <w:highlight w:val="yellow"/>
        </w:rPr>
      </w:pPr>
    </w:p>
    <w:p w14:paraId="2B8AD5E5" w14:textId="77777777" w:rsidR="00DC09A0" w:rsidRPr="00CA2B21" w:rsidRDefault="0086364D">
      <w:pPr>
        <w:pStyle w:val="Nadpis1"/>
        <w:numPr>
          <w:ilvl w:val="0"/>
          <w:numId w:val="3"/>
        </w:numPr>
      </w:pPr>
      <w:bookmarkStart w:id="66" w:name="_Toc523989830"/>
      <w:bookmarkStart w:id="67" w:name="_Toc313890451"/>
      <w:bookmarkStart w:id="68" w:name="_Toc380392843"/>
      <w:r w:rsidRPr="00CA2B21">
        <w:t>Odpady vzniklé při realizaci stavby</w:t>
      </w:r>
      <w:bookmarkEnd w:id="66"/>
      <w:bookmarkEnd w:id="67"/>
      <w:bookmarkEnd w:id="68"/>
      <w:r w:rsidRPr="00CA2B21">
        <w:t xml:space="preserve"> </w:t>
      </w:r>
    </w:p>
    <w:p w14:paraId="2B8AD5E6" w14:textId="77777777" w:rsidR="00DC09A0" w:rsidRPr="00CA2B21" w:rsidRDefault="00DC09A0">
      <w:pPr>
        <w:ind w:firstLine="0"/>
        <w:jc w:val="both"/>
        <w:rPr>
          <w:rFonts w:ascii="Calibri" w:hAnsi="Calibri" w:cs="Calibri"/>
          <w:sz w:val="20"/>
        </w:rPr>
      </w:pPr>
    </w:p>
    <w:p w14:paraId="2B8AD5E7" w14:textId="77777777" w:rsidR="00DC09A0" w:rsidRPr="00CA2B21" w:rsidRDefault="0086364D">
      <w:p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V souvislosti se vzrůstajícím významem ochrany životního prostředí je nutné se vzniklým odpadem nakládat dle níže uvedeného textu:</w:t>
      </w:r>
    </w:p>
    <w:p w14:paraId="2B8AD5E8" w14:textId="77777777" w:rsidR="00DC09A0" w:rsidRPr="00CA2B21" w:rsidRDefault="00DC09A0">
      <w:pPr>
        <w:ind w:firstLine="0"/>
        <w:jc w:val="both"/>
        <w:rPr>
          <w:rFonts w:ascii="Calibri" w:hAnsi="Calibri" w:cs="Calibri"/>
          <w:sz w:val="20"/>
        </w:rPr>
      </w:pPr>
    </w:p>
    <w:p w14:paraId="2B8AD5E9" w14:textId="77777777" w:rsidR="00DC09A0" w:rsidRPr="00CA2B21" w:rsidRDefault="0086364D">
      <w:p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Nakládání s odpady musí odpovídat následujícím předpisům:</w:t>
      </w:r>
    </w:p>
    <w:p w14:paraId="2B8AD5EA" w14:textId="44E48742" w:rsidR="00DC09A0" w:rsidRPr="00CA2B21" w:rsidRDefault="0086364D">
      <w:pPr>
        <w:numPr>
          <w:ilvl w:val="0"/>
          <w:numId w:val="5"/>
        </w:num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zákon č.</w:t>
      </w:r>
      <w:r w:rsidR="00890FA5">
        <w:rPr>
          <w:rFonts w:ascii="Calibri" w:hAnsi="Calibri" w:cs="Calibri"/>
          <w:sz w:val="20"/>
        </w:rPr>
        <w:t>541</w:t>
      </w:r>
      <w:r w:rsidRPr="00CA2B21">
        <w:rPr>
          <w:rFonts w:ascii="Calibri" w:hAnsi="Calibri" w:cs="Calibri"/>
          <w:sz w:val="20"/>
        </w:rPr>
        <w:t>/20</w:t>
      </w:r>
      <w:r w:rsidR="00890FA5">
        <w:rPr>
          <w:rFonts w:ascii="Calibri" w:hAnsi="Calibri" w:cs="Calibri"/>
          <w:sz w:val="20"/>
        </w:rPr>
        <w:t xml:space="preserve">20 </w:t>
      </w:r>
      <w:r w:rsidRPr="00CA2B21">
        <w:rPr>
          <w:rFonts w:ascii="Calibri" w:hAnsi="Calibri" w:cs="Calibri"/>
          <w:sz w:val="20"/>
        </w:rPr>
        <w:t>Sb., Zákon o odpadech</w:t>
      </w:r>
    </w:p>
    <w:p w14:paraId="2B8AD5EB" w14:textId="62AAA22E" w:rsidR="00DC09A0" w:rsidRPr="00CA2B21" w:rsidRDefault="0086364D">
      <w:pPr>
        <w:numPr>
          <w:ilvl w:val="0"/>
          <w:numId w:val="5"/>
        </w:num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 xml:space="preserve">vyhláška </w:t>
      </w:r>
      <w:r w:rsidR="00890FA5">
        <w:rPr>
          <w:rFonts w:ascii="Calibri" w:hAnsi="Calibri" w:cs="Calibri"/>
          <w:sz w:val="20"/>
        </w:rPr>
        <w:t>8</w:t>
      </w:r>
      <w:r w:rsidRPr="00CA2B21">
        <w:rPr>
          <w:rFonts w:ascii="Calibri" w:hAnsi="Calibri" w:cs="Calibri"/>
          <w:sz w:val="20"/>
        </w:rPr>
        <w:t>/20</w:t>
      </w:r>
      <w:r w:rsidR="00890FA5">
        <w:rPr>
          <w:rFonts w:ascii="Calibri" w:hAnsi="Calibri" w:cs="Calibri"/>
          <w:sz w:val="20"/>
        </w:rPr>
        <w:t>2</w:t>
      </w:r>
      <w:r w:rsidRPr="00CA2B21">
        <w:rPr>
          <w:rFonts w:ascii="Calibri" w:hAnsi="Calibri" w:cs="Calibri"/>
          <w:sz w:val="20"/>
        </w:rPr>
        <w:t xml:space="preserve">1 Sb., </w:t>
      </w:r>
      <w:r w:rsidR="00890FA5" w:rsidRPr="00890FA5">
        <w:rPr>
          <w:rFonts w:ascii="Calibri" w:hAnsi="Calibri" w:cs="Calibri"/>
          <w:sz w:val="20"/>
        </w:rPr>
        <w:t>o Katalogu odpadů a posuzování vlastností odpadů (Katalog odpadů</w:t>
      </w:r>
      <w:r w:rsidR="00890FA5">
        <w:rPr>
          <w:rFonts w:ascii="Calibri" w:hAnsi="Calibri" w:cs="Calibri"/>
          <w:sz w:val="20"/>
        </w:rPr>
        <w:t>)</w:t>
      </w:r>
    </w:p>
    <w:p w14:paraId="2B8AD5ED" w14:textId="77777777" w:rsidR="00DC09A0" w:rsidRPr="00CA2B21" w:rsidRDefault="00DC09A0">
      <w:pPr>
        <w:ind w:firstLine="0"/>
        <w:jc w:val="both"/>
        <w:rPr>
          <w:rFonts w:ascii="Calibri" w:hAnsi="Calibri" w:cs="Calibri"/>
          <w:sz w:val="20"/>
        </w:rPr>
      </w:pPr>
    </w:p>
    <w:p w14:paraId="2B8AD5EE" w14:textId="77777777" w:rsidR="00DC09A0" w:rsidRPr="00CA2B21" w:rsidRDefault="0086364D">
      <w:p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Při stavebních pracích se mohou vyskytnout ještě další zde neuvedené odpady, které souvisí s technologií zhotovení stavby vybraným zhotovitelem prací. Ve smlouvě investora a zhotovitele na dodávku stavebních prací musí být zakotvena povinnost zhotovitele likvidovat odpady, vznikající jeho činností.</w:t>
      </w:r>
    </w:p>
    <w:p w14:paraId="2B8AD5EF" w14:textId="77777777" w:rsidR="00DC09A0" w:rsidRDefault="0086364D">
      <w:pPr>
        <w:ind w:firstLine="0"/>
        <w:jc w:val="both"/>
        <w:rPr>
          <w:rFonts w:ascii="Calibri" w:hAnsi="Calibri" w:cs="Calibri"/>
          <w:sz w:val="20"/>
        </w:rPr>
      </w:pPr>
      <w:r w:rsidRPr="00CA2B21">
        <w:rPr>
          <w:rFonts w:ascii="Calibri" w:hAnsi="Calibri" w:cs="Calibri"/>
          <w:sz w:val="20"/>
        </w:rPr>
        <w:t>Zhotovitel díla musí během stavebních prací zajistit kontrolu práce a údržby stavebních mechanismů s tím, že pokud dojde k úniku ropných látek do zeminy, je nutné kontaminovanou zeminu ihned vytěžit a uložit do nepropustné nádoby příp. kontejneru, vyvést na příslušnou skládku nebo do spalovny. O vzniklých odpadech musí zhotovitel stavby vést evidenci, aby bylo možno při kolaudaci provést vyhodnocení.</w:t>
      </w:r>
    </w:p>
    <w:p w14:paraId="2B8AD5F0" w14:textId="77777777" w:rsidR="00DC09A0" w:rsidRDefault="00DC09A0">
      <w:pPr>
        <w:ind w:firstLine="0"/>
      </w:pPr>
    </w:p>
    <w:p w14:paraId="2B8AD5F1" w14:textId="77777777" w:rsidR="00DC09A0" w:rsidRDefault="00DC09A0">
      <w:pPr>
        <w:tabs>
          <w:tab w:val="left" w:pos="2268"/>
        </w:tabs>
      </w:pPr>
    </w:p>
    <w:sectPr w:rsidR="00DC09A0">
      <w:footerReference w:type="default" r:id="rId14"/>
      <w:pgSz w:w="11906" w:h="16838"/>
      <w:pgMar w:top="1418" w:right="1134" w:bottom="1276" w:left="1134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94DE3" w14:textId="77777777" w:rsidR="007732AD" w:rsidRDefault="007732AD">
      <w:r>
        <w:separator/>
      </w:r>
    </w:p>
  </w:endnote>
  <w:endnote w:type="continuationSeparator" w:id="0">
    <w:p w14:paraId="2DEBDB24" w14:textId="77777777" w:rsidR="007732AD" w:rsidRDefault="0077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AD5F2" w14:textId="77777777" w:rsidR="00DC09A0" w:rsidRDefault="0086364D">
    <w:pPr>
      <w:pStyle w:val="Zpat"/>
      <w:pBdr>
        <w:top w:val="single" w:sz="4" w:space="1" w:color="000000"/>
      </w:pBdr>
      <w:jc w:val="center"/>
    </w:pPr>
    <w:r>
      <w:rPr>
        <w:rFonts w:cs="Arial"/>
        <w:szCs w:val="20"/>
      </w:rPr>
      <w:t xml:space="preserve">Strana </w:t>
    </w:r>
    <w:r>
      <w:rPr>
        <w:rFonts w:cs="Arial"/>
        <w:szCs w:val="20"/>
      </w:rPr>
      <w:fldChar w:fldCharType="begin"/>
    </w:r>
    <w:r>
      <w:rPr>
        <w:rFonts w:cs="Arial"/>
        <w:szCs w:val="20"/>
      </w:rPr>
      <w:instrText>PAGE</w:instrText>
    </w:r>
    <w:r>
      <w:rPr>
        <w:rFonts w:cs="Arial"/>
        <w:szCs w:val="20"/>
      </w:rPr>
      <w:fldChar w:fldCharType="separate"/>
    </w:r>
    <w:r>
      <w:rPr>
        <w:rFonts w:cs="Arial"/>
        <w:szCs w:val="20"/>
      </w:rPr>
      <w:t>4</w:t>
    </w:r>
    <w:r>
      <w:rPr>
        <w:rFonts w:cs="Arial"/>
        <w:szCs w:val="20"/>
      </w:rPr>
      <w:fldChar w:fldCharType="end"/>
    </w:r>
    <w:r>
      <w:rPr>
        <w:rFonts w:cs="Arial"/>
        <w:szCs w:val="20"/>
      </w:rPr>
      <w:t xml:space="preserve"> (celkem </w:t>
    </w:r>
    <w:r>
      <w:rPr>
        <w:rFonts w:cs="Arial"/>
        <w:szCs w:val="20"/>
      </w:rPr>
      <w:fldChar w:fldCharType="begin"/>
    </w:r>
    <w:r>
      <w:rPr>
        <w:rFonts w:cs="Arial"/>
        <w:szCs w:val="20"/>
      </w:rPr>
      <w:instrText>NUMPAGES</w:instrText>
    </w:r>
    <w:r>
      <w:rPr>
        <w:rFonts w:cs="Arial"/>
        <w:szCs w:val="20"/>
      </w:rPr>
      <w:fldChar w:fldCharType="separate"/>
    </w:r>
    <w:r>
      <w:rPr>
        <w:rFonts w:cs="Arial"/>
        <w:szCs w:val="20"/>
      </w:rPr>
      <w:t>4</w:t>
    </w:r>
    <w:r>
      <w:rPr>
        <w:rFonts w:cs="Arial"/>
        <w:szCs w:val="20"/>
      </w:rPr>
      <w:fldChar w:fldCharType="end"/>
    </w:r>
    <w:r>
      <w:rPr>
        <w:rFonts w:cs="Arial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AB893" w14:textId="77777777" w:rsidR="007732AD" w:rsidRDefault="007732AD">
      <w:r>
        <w:separator/>
      </w:r>
    </w:p>
  </w:footnote>
  <w:footnote w:type="continuationSeparator" w:id="0">
    <w:p w14:paraId="5D26E464" w14:textId="77777777" w:rsidR="007732AD" w:rsidRDefault="00773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7672A"/>
    <w:multiLevelType w:val="multilevel"/>
    <w:tmpl w:val="218EC0C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dpis5"/>
      <w:lvlText w:val="%1.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333A8C"/>
    <w:multiLevelType w:val="multilevel"/>
    <w:tmpl w:val="8B387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821553"/>
    <w:multiLevelType w:val="hybridMultilevel"/>
    <w:tmpl w:val="A824018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2A72BD2"/>
    <w:multiLevelType w:val="multilevel"/>
    <w:tmpl w:val="BDA4F5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19E0826"/>
    <w:multiLevelType w:val="multilevel"/>
    <w:tmpl w:val="A170BC7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00C6E10"/>
    <w:multiLevelType w:val="hybridMultilevel"/>
    <w:tmpl w:val="876E01E8"/>
    <w:lvl w:ilvl="0" w:tplc="A160905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50B6BC6"/>
    <w:multiLevelType w:val="multilevel"/>
    <w:tmpl w:val="BF76C9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0169820">
    <w:abstractNumId w:val="0"/>
  </w:num>
  <w:num w:numId="2" w16cid:durableId="1821919559">
    <w:abstractNumId w:val="6"/>
  </w:num>
  <w:num w:numId="3" w16cid:durableId="1867324701">
    <w:abstractNumId w:val="1"/>
  </w:num>
  <w:num w:numId="4" w16cid:durableId="1137913831">
    <w:abstractNumId w:val="3"/>
  </w:num>
  <w:num w:numId="5" w16cid:durableId="407266407">
    <w:abstractNumId w:val="4"/>
  </w:num>
  <w:num w:numId="6" w16cid:durableId="1561550761">
    <w:abstractNumId w:val="0"/>
  </w:num>
  <w:num w:numId="7" w16cid:durableId="1295334872">
    <w:abstractNumId w:val="2"/>
  </w:num>
  <w:num w:numId="8" w16cid:durableId="288248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A0"/>
    <w:rsid w:val="000069C1"/>
    <w:rsid w:val="00024216"/>
    <w:rsid w:val="000279A3"/>
    <w:rsid w:val="000C1464"/>
    <w:rsid w:val="000C183A"/>
    <w:rsid w:val="000C217C"/>
    <w:rsid w:val="000D6134"/>
    <w:rsid w:val="000F250D"/>
    <w:rsid w:val="00127E49"/>
    <w:rsid w:val="00141AEC"/>
    <w:rsid w:val="001511FA"/>
    <w:rsid w:val="00152973"/>
    <w:rsid w:val="00153913"/>
    <w:rsid w:val="00173653"/>
    <w:rsid w:val="00182509"/>
    <w:rsid w:val="00195365"/>
    <w:rsid w:val="001A3198"/>
    <w:rsid w:val="001C124A"/>
    <w:rsid w:val="001E4718"/>
    <w:rsid w:val="001F3CD2"/>
    <w:rsid w:val="002034C2"/>
    <w:rsid w:val="00230568"/>
    <w:rsid w:val="0026245B"/>
    <w:rsid w:val="0027628F"/>
    <w:rsid w:val="002936D1"/>
    <w:rsid w:val="002D1223"/>
    <w:rsid w:val="002D7FF6"/>
    <w:rsid w:val="002F5A3D"/>
    <w:rsid w:val="00353DF4"/>
    <w:rsid w:val="00361F94"/>
    <w:rsid w:val="00363417"/>
    <w:rsid w:val="0037032E"/>
    <w:rsid w:val="003F3434"/>
    <w:rsid w:val="004B7D5F"/>
    <w:rsid w:val="004D16A8"/>
    <w:rsid w:val="005070BA"/>
    <w:rsid w:val="0051175F"/>
    <w:rsid w:val="00551493"/>
    <w:rsid w:val="005708C4"/>
    <w:rsid w:val="00575E37"/>
    <w:rsid w:val="0059014E"/>
    <w:rsid w:val="005A31C0"/>
    <w:rsid w:val="005B547B"/>
    <w:rsid w:val="005D2810"/>
    <w:rsid w:val="005D4EEB"/>
    <w:rsid w:val="005E07B6"/>
    <w:rsid w:val="00641575"/>
    <w:rsid w:val="0064335F"/>
    <w:rsid w:val="00671E78"/>
    <w:rsid w:val="006C0EF5"/>
    <w:rsid w:val="006D1352"/>
    <w:rsid w:val="006D625D"/>
    <w:rsid w:val="006F3D8F"/>
    <w:rsid w:val="0070719F"/>
    <w:rsid w:val="00735951"/>
    <w:rsid w:val="007732AD"/>
    <w:rsid w:val="00773528"/>
    <w:rsid w:val="00783844"/>
    <w:rsid w:val="00791B58"/>
    <w:rsid w:val="008039BC"/>
    <w:rsid w:val="0081063A"/>
    <w:rsid w:val="008165EC"/>
    <w:rsid w:val="00847A52"/>
    <w:rsid w:val="0086364D"/>
    <w:rsid w:val="00890FA5"/>
    <w:rsid w:val="008B21EA"/>
    <w:rsid w:val="008D2968"/>
    <w:rsid w:val="00903554"/>
    <w:rsid w:val="00916389"/>
    <w:rsid w:val="00917347"/>
    <w:rsid w:val="00925360"/>
    <w:rsid w:val="00946C06"/>
    <w:rsid w:val="00947629"/>
    <w:rsid w:val="00955047"/>
    <w:rsid w:val="00955CF3"/>
    <w:rsid w:val="00997B97"/>
    <w:rsid w:val="009A4723"/>
    <w:rsid w:val="009B4ED8"/>
    <w:rsid w:val="00A16D57"/>
    <w:rsid w:val="00A42117"/>
    <w:rsid w:val="00A969BB"/>
    <w:rsid w:val="00AA3222"/>
    <w:rsid w:val="00AC42D4"/>
    <w:rsid w:val="00AE489E"/>
    <w:rsid w:val="00AF01F9"/>
    <w:rsid w:val="00AF6A97"/>
    <w:rsid w:val="00B04E7B"/>
    <w:rsid w:val="00B25174"/>
    <w:rsid w:val="00B2679D"/>
    <w:rsid w:val="00B465FA"/>
    <w:rsid w:val="00B9073D"/>
    <w:rsid w:val="00BC7D7E"/>
    <w:rsid w:val="00BE76DA"/>
    <w:rsid w:val="00C20229"/>
    <w:rsid w:val="00C42566"/>
    <w:rsid w:val="00C46009"/>
    <w:rsid w:val="00C462F1"/>
    <w:rsid w:val="00C5276A"/>
    <w:rsid w:val="00C77ADC"/>
    <w:rsid w:val="00CA2B21"/>
    <w:rsid w:val="00CB5893"/>
    <w:rsid w:val="00CF489E"/>
    <w:rsid w:val="00D51A50"/>
    <w:rsid w:val="00DA5DFF"/>
    <w:rsid w:val="00DA7C83"/>
    <w:rsid w:val="00DC09A0"/>
    <w:rsid w:val="00DF669A"/>
    <w:rsid w:val="00E5488E"/>
    <w:rsid w:val="00EA4343"/>
    <w:rsid w:val="00EB4898"/>
    <w:rsid w:val="00EC4E7E"/>
    <w:rsid w:val="00ED0631"/>
    <w:rsid w:val="00EF54DD"/>
    <w:rsid w:val="00F030BF"/>
    <w:rsid w:val="00F060E5"/>
    <w:rsid w:val="00F472BA"/>
    <w:rsid w:val="00F60096"/>
    <w:rsid w:val="00F64946"/>
    <w:rsid w:val="00F664AD"/>
    <w:rsid w:val="00F779E8"/>
    <w:rsid w:val="00FC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D558"/>
  <w15:docId w15:val="{8BDCB50C-DE46-4944-A7DE-60422964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713B"/>
    <w:pPr>
      <w:ind w:firstLine="567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adpis2"/>
    <w:qFormat/>
    <w:rsid w:val="00AC2B02"/>
    <w:pPr>
      <w:keepNext/>
      <w:numPr>
        <w:numId w:val="1"/>
      </w:numPr>
      <w:tabs>
        <w:tab w:val="left" w:pos="567"/>
      </w:tabs>
      <w:spacing w:before="60"/>
      <w:outlineLvl w:val="0"/>
    </w:pPr>
    <w:rPr>
      <w:rFonts w:cs="Arial"/>
      <w:b/>
      <w:bCs/>
      <w:kern w:val="2"/>
      <w:sz w:val="24"/>
      <w:szCs w:val="32"/>
      <w:u w:val="single"/>
    </w:rPr>
  </w:style>
  <w:style w:type="paragraph" w:styleId="Nadpis2">
    <w:name w:val="heading 2"/>
    <w:basedOn w:val="Normln"/>
    <w:next w:val="Normln"/>
    <w:qFormat/>
    <w:rsid w:val="00495144"/>
    <w:pPr>
      <w:keepNext/>
      <w:numPr>
        <w:ilvl w:val="1"/>
        <w:numId w:val="1"/>
      </w:numPr>
      <w:spacing w:before="60"/>
      <w:outlineLvl w:val="1"/>
    </w:pPr>
    <w:rPr>
      <w:rFonts w:cs="Arial"/>
      <w:b/>
      <w:bCs/>
      <w:iCs/>
      <w:szCs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495144"/>
    <w:pPr>
      <w:keepNext/>
      <w:numPr>
        <w:ilvl w:val="2"/>
        <w:numId w:val="1"/>
      </w:numPr>
      <w:tabs>
        <w:tab w:val="clear" w:pos="720"/>
        <w:tab w:val="left" w:pos="567"/>
      </w:tabs>
      <w:spacing w:before="60"/>
      <w:ind w:left="567" w:firstLine="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386BC4"/>
    <w:pPr>
      <w:keepNext/>
      <w:tabs>
        <w:tab w:val="left" w:pos="567"/>
      </w:tabs>
      <w:spacing w:before="60"/>
      <w:ind w:left="360" w:hanging="360"/>
      <w:outlineLvl w:val="3"/>
    </w:pPr>
    <w:rPr>
      <w:bCs/>
      <w:szCs w:val="28"/>
      <w:u w:val="single"/>
    </w:rPr>
  </w:style>
  <w:style w:type="paragraph" w:styleId="Nadpis5">
    <w:name w:val="heading 5"/>
    <w:basedOn w:val="Normln"/>
    <w:next w:val="Normln"/>
    <w:qFormat/>
    <w:rsid w:val="0028614E"/>
    <w:pPr>
      <w:numPr>
        <w:ilvl w:val="4"/>
        <w:numId w:val="1"/>
      </w:numPr>
      <w:tabs>
        <w:tab w:val="left" w:pos="567"/>
      </w:tabs>
      <w:spacing w:before="60"/>
      <w:ind w:left="567" w:firstLine="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28614E"/>
    <w:pPr>
      <w:numPr>
        <w:ilvl w:val="5"/>
        <w:numId w:val="1"/>
      </w:numPr>
      <w:tabs>
        <w:tab w:val="left" w:pos="567"/>
      </w:tabs>
      <w:spacing w:before="60"/>
      <w:ind w:left="1134" w:firstLine="0"/>
      <w:outlineLvl w:val="5"/>
    </w:pPr>
    <w:rPr>
      <w:bCs/>
      <w:sz w:val="20"/>
      <w:szCs w:val="22"/>
      <w:u w:val="single"/>
    </w:rPr>
  </w:style>
  <w:style w:type="paragraph" w:styleId="Nadpis7">
    <w:name w:val="heading 7"/>
    <w:basedOn w:val="Normln"/>
    <w:next w:val="Normln"/>
    <w:qFormat/>
    <w:rsid w:val="0028614E"/>
    <w:pPr>
      <w:numPr>
        <w:ilvl w:val="6"/>
        <w:numId w:val="1"/>
      </w:numPr>
      <w:tabs>
        <w:tab w:val="left" w:pos="567"/>
      </w:tabs>
      <w:spacing w:before="60"/>
      <w:ind w:left="1134" w:firstLine="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28614E"/>
    <w:pPr>
      <w:numPr>
        <w:ilvl w:val="7"/>
        <w:numId w:val="1"/>
      </w:numPr>
      <w:tabs>
        <w:tab w:val="left" w:pos="567"/>
      </w:tabs>
      <w:spacing w:before="60"/>
      <w:ind w:left="1134" w:firstLine="0"/>
      <w:outlineLvl w:val="7"/>
    </w:pPr>
    <w:rPr>
      <w:i/>
      <w:iCs/>
      <w:sz w:val="20"/>
    </w:rPr>
  </w:style>
  <w:style w:type="paragraph" w:styleId="Nadpis9">
    <w:name w:val="heading 9"/>
    <w:basedOn w:val="Normln"/>
    <w:next w:val="Normln"/>
    <w:qFormat/>
    <w:rsid w:val="0028614E"/>
    <w:pPr>
      <w:numPr>
        <w:ilvl w:val="8"/>
        <w:numId w:val="1"/>
      </w:numPr>
      <w:tabs>
        <w:tab w:val="left" w:pos="567"/>
      </w:tabs>
      <w:spacing w:before="60"/>
      <w:ind w:left="1701" w:firstLine="0"/>
      <w:outlineLvl w:val="8"/>
    </w:pPr>
    <w:rPr>
      <w:rFonts w:cs="Arial"/>
      <w:i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qFormat/>
    <w:rsid w:val="00EB1134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qFormat/>
    <w:rsid w:val="00386BC4"/>
    <w:rPr>
      <w:rFonts w:ascii="Arial" w:hAnsi="Arial"/>
      <w:bCs/>
      <w:sz w:val="22"/>
      <w:szCs w:val="28"/>
      <w:u w:val="single"/>
    </w:rPr>
  </w:style>
  <w:style w:type="character" w:customStyle="1" w:styleId="Nadpis3Char">
    <w:name w:val="Nadpis 3 Char"/>
    <w:link w:val="Nadpis3"/>
    <w:qFormat/>
    <w:rsid w:val="00533F13"/>
    <w:rPr>
      <w:rFonts w:ascii="Arial" w:hAnsi="Arial" w:cs="Arial"/>
      <w:b/>
      <w:bCs/>
      <w:sz w:val="22"/>
      <w:szCs w:val="26"/>
    </w:rPr>
  </w:style>
  <w:style w:type="character" w:customStyle="1" w:styleId="Internetovodkaz">
    <w:name w:val="Internetový odkaz"/>
    <w:uiPriority w:val="99"/>
    <w:unhideWhenUsed/>
    <w:rsid w:val="001D0D57"/>
    <w:rPr>
      <w:color w:val="0000FF"/>
      <w:u w:val="single"/>
    </w:rPr>
  </w:style>
  <w:style w:type="character" w:customStyle="1" w:styleId="ZhlavChar">
    <w:name w:val="Záhlaví Char"/>
    <w:link w:val="Zhlav"/>
    <w:qFormat/>
    <w:rsid w:val="00D812DB"/>
    <w:rPr>
      <w:rFonts w:ascii="Arial" w:hAnsi="Arial"/>
      <w:szCs w:val="24"/>
    </w:rPr>
  </w:style>
  <w:style w:type="character" w:styleId="Odkaznakoment">
    <w:name w:val="annotation reference"/>
    <w:qFormat/>
    <w:rsid w:val="00785496"/>
    <w:rPr>
      <w:sz w:val="16"/>
      <w:szCs w:val="16"/>
    </w:rPr>
  </w:style>
  <w:style w:type="character" w:customStyle="1" w:styleId="TextkomenteChar">
    <w:name w:val="Text komentáře Char"/>
    <w:link w:val="Textkomente"/>
    <w:qFormat/>
    <w:rsid w:val="00785496"/>
    <w:rPr>
      <w:rFonts w:ascii="Arial" w:hAnsi="Arial"/>
    </w:rPr>
  </w:style>
  <w:style w:type="character" w:customStyle="1" w:styleId="PedmtkomenteChar">
    <w:name w:val="Předmět komentáře Char"/>
    <w:link w:val="Pedmtkomente"/>
    <w:qFormat/>
    <w:rsid w:val="00785496"/>
    <w:rPr>
      <w:rFonts w:ascii="Arial" w:hAnsi="Arial"/>
      <w:b/>
      <w:bCs/>
    </w:rPr>
  </w:style>
  <w:style w:type="character" w:customStyle="1" w:styleId="PodnadpisChar">
    <w:name w:val="Podnadpis Char"/>
    <w:link w:val="Podnadpis"/>
    <w:qFormat/>
    <w:rsid w:val="00F26819"/>
    <w:rPr>
      <w:sz w:val="24"/>
    </w:rPr>
  </w:style>
  <w:style w:type="character" w:customStyle="1" w:styleId="NzevChar">
    <w:name w:val="Název Char"/>
    <w:link w:val="Nzev"/>
    <w:qFormat/>
    <w:rsid w:val="001A6A5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Char">
    <w:name w:val="Základní text Char"/>
    <w:link w:val="Zkladntext"/>
    <w:qFormat/>
    <w:rsid w:val="00DD792F"/>
    <w:rPr>
      <w:sz w:val="24"/>
    </w:rPr>
  </w:style>
  <w:style w:type="character" w:customStyle="1" w:styleId="ZkladntextodsazenChar">
    <w:name w:val="Základní text odsazený Char"/>
    <w:link w:val="Zkladntextodsazen"/>
    <w:qFormat/>
    <w:rsid w:val="00DD792F"/>
    <w:rPr>
      <w:rFonts w:ascii="Arial" w:hAnsi="Arial"/>
      <w:sz w:val="22"/>
      <w:szCs w:val="24"/>
    </w:rPr>
  </w:style>
  <w:style w:type="character" w:customStyle="1" w:styleId="HEL11Char">
    <w:name w:val="HEL1.1 Char"/>
    <w:link w:val="HEL11"/>
    <w:qFormat/>
    <w:locked/>
    <w:rsid w:val="00DD792F"/>
    <w:rPr>
      <w:rFonts w:ascii="Calibri" w:hAnsi="Calibri"/>
      <w:b/>
      <w:sz w:val="24"/>
      <w:szCs w:val="24"/>
    </w:rPr>
  </w:style>
  <w:style w:type="character" w:customStyle="1" w:styleId="HEL12Char">
    <w:name w:val="HEL1.2 Char"/>
    <w:link w:val="HEL12"/>
    <w:qFormat/>
    <w:locked/>
    <w:rsid w:val="00DD792F"/>
    <w:rPr>
      <w:rFonts w:ascii="Calibri" w:hAnsi="Calibri"/>
      <w:b/>
      <w:szCs w:val="22"/>
    </w:rPr>
  </w:style>
  <w:style w:type="character" w:customStyle="1" w:styleId="PMNormalIndentChar">
    <w:name w:val="PM_NormalIndent Char"/>
    <w:link w:val="PMNormalIndent"/>
    <w:qFormat/>
    <w:rsid w:val="001B4062"/>
    <w:rPr>
      <w:rFonts w:ascii="Arial" w:hAnsi="Arial"/>
      <w:szCs w:val="24"/>
      <w:lang w:val="fr-FR" w:eastAsia="en-GB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DD792F"/>
    <w:pPr>
      <w:spacing w:line="360" w:lineRule="auto"/>
      <w:ind w:firstLine="0"/>
      <w:jc w:val="both"/>
    </w:pPr>
    <w:rPr>
      <w:rFonts w:ascii="Times New Roman" w:hAnsi="Times New Roman"/>
      <w:sz w:val="24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495144"/>
    <w:pPr>
      <w:tabs>
        <w:tab w:val="center" w:pos="4536"/>
        <w:tab w:val="right" w:pos="9072"/>
      </w:tabs>
      <w:ind w:firstLine="0"/>
    </w:pPr>
    <w:rPr>
      <w:sz w:val="20"/>
    </w:rPr>
  </w:style>
  <w:style w:type="paragraph" w:styleId="Zpat">
    <w:name w:val="footer"/>
    <w:basedOn w:val="Normln"/>
    <w:rsid w:val="00495144"/>
    <w:pPr>
      <w:tabs>
        <w:tab w:val="center" w:pos="4536"/>
        <w:tab w:val="right" w:pos="9072"/>
      </w:tabs>
      <w:ind w:firstLine="0"/>
    </w:pPr>
    <w:rPr>
      <w:sz w:val="20"/>
    </w:rPr>
  </w:style>
  <w:style w:type="paragraph" w:styleId="Obsah1">
    <w:name w:val="toc 1"/>
    <w:basedOn w:val="Normln"/>
    <w:next w:val="Normln"/>
    <w:autoRedefine/>
    <w:uiPriority w:val="39"/>
    <w:rsid w:val="00D17C8A"/>
    <w:pPr>
      <w:spacing w:before="60"/>
      <w:ind w:firstLine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rsid w:val="00D17C8A"/>
    <w:pPr>
      <w:spacing w:before="60"/>
      <w:ind w:left="198" w:firstLine="0"/>
    </w:pPr>
    <w:rPr>
      <w:b/>
    </w:rPr>
  </w:style>
  <w:style w:type="paragraph" w:styleId="Obsah3">
    <w:name w:val="toc 3"/>
    <w:basedOn w:val="Normln"/>
    <w:next w:val="Normln"/>
    <w:autoRedefine/>
    <w:uiPriority w:val="39"/>
    <w:rsid w:val="00D17C8A"/>
    <w:pPr>
      <w:spacing w:before="60"/>
      <w:ind w:left="397" w:firstLine="0"/>
    </w:pPr>
    <w:rPr>
      <w:caps/>
    </w:rPr>
  </w:style>
  <w:style w:type="paragraph" w:styleId="Obsah4">
    <w:name w:val="toc 4"/>
    <w:basedOn w:val="Normln"/>
    <w:next w:val="Normln"/>
    <w:autoRedefine/>
    <w:uiPriority w:val="39"/>
    <w:rsid w:val="00D17C8A"/>
    <w:pPr>
      <w:spacing w:before="60"/>
      <w:ind w:left="595" w:firstLine="0"/>
    </w:pPr>
  </w:style>
  <w:style w:type="paragraph" w:styleId="Obsah5">
    <w:name w:val="toc 5"/>
    <w:basedOn w:val="Normln"/>
    <w:next w:val="Normln"/>
    <w:autoRedefine/>
    <w:semiHidden/>
    <w:rsid w:val="00D17C8A"/>
    <w:pPr>
      <w:spacing w:before="60"/>
      <w:ind w:left="794" w:firstLine="0"/>
    </w:pPr>
    <w:rPr>
      <w:i/>
      <w:caps/>
    </w:rPr>
  </w:style>
  <w:style w:type="paragraph" w:styleId="Obsah6">
    <w:name w:val="toc 6"/>
    <w:basedOn w:val="Normln"/>
    <w:next w:val="Normln"/>
    <w:autoRedefine/>
    <w:semiHidden/>
    <w:rsid w:val="00D17C8A"/>
    <w:pPr>
      <w:spacing w:before="60"/>
      <w:ind w:left="992" w:firstLine="0"/>
    </w:pPr>
    <w:rPr>
      <w:i/>
    </w:rPr>
  </w:style>
  <w:style w:type="paragraph" w:styleId="Obsah7">
    <w:name w:val="toc 7"/>
    <w:basedOn w:val="Normln"/>
    <w:next w:val="Normln"/>
    <w:autoRedefine/>
    <w:semiHidden/>
    <w:rsid w:val="00D17C8A"/>
    <w:pPr>
      <w:spacing w:before="60"/>
      <w:ind w:left="1191" w:firstLine="0"/>
    </w:pPr>
    <w:rPr>
      <w:sz w:val="20"/>
    </w:rPr>
  </w:style>
  <w:style w:type="paragraph" w:styleId="Obsah8">
    <w:name w:val="toc 8"/>
    <w:basedOn w:val="Normln"/>
    <w:next w:val="Normln"/>
    <w:autoRedefine/>
    <w:semiHidden/>
    <w:rsid w:val="00D17C8A"/>
    <w:pPr>
      <w:ind w:left="1389" w:firstLine="0"/>
    </w:pPr>
    <w:rPr>
      <w:i/>
      <w:sz w:val="20"/>
    </w:rPr>
  </w:style>
  <w:style w:type="paragraph" w:styleId="Obsah9">
    <w:name w:val="toc 9"/>
    <w:basedOn w:val="Normln"/>
    <w:next w:val="Normln"/>
    <w:autoRedefine/>
    <w:semiHidden/>
    <w:rsid w:val="00D17C8A"/>
    <w:pPr>
      <w:ind w:left="1588" w:firstLine="0"/>
    </w:pPr>
    <w:rPr>
      <w:i/>
      <w:sz w:val="20"/>
    </w:rPr>
  </w:style>
  <w:style w:type="paragraph" w:styleId="Textbubliny">
    <w:name w:val="Balloon Text"/>
    <w:basedOn w:val="Normln"/>
    <w:link w:val="TextbublinyChar"/>
    <w:qFormat/>
    <w:rsid w:val="00EB1134"/>
    <w:rPr>
      <w:rFonts w:ascii="Tahoma" w:hAnsi="Tahoma"/>
      <w:sz w:val="16"/>
      <w:szCs w:val="16"/>
    </w:rPr>
  </w:style>
  <w:style w:type="paragraph" w:customStyle="1" w:styleId="Normlnprvnodsazen">
    <w:name w:val="Normální + první odsazený"/>
    <w:basedOn w:val="Normln"/>
    <w:qFormat/>
    <w:rsid w:val="00166282"/>
    <w:pPr>
      <w:ind w:firstLine="680"/>
    </w:pPr>
    <w:rPr>
      <w:rFonts w:eastAsia="Calibri" w:cs="Arial"/>
      <w:szCs w:val="22"/>
    </w:rPr>
  </w:style>
  <w:style w:type="paragraph" w:styleId="Textkomente">
    <w:name w:val="annotation text"/>
    <w:basedOn w:val="Normln"/>
    <w:link w:val="TextkomenteChar"/>
    <w:qFormat/>
    <w:rsid w:val="007854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785496"/>
    <w:rPr>
      <w:b/>
      <w:bCs/>
    </w:rPr>
  </w:style>
  <w:style w:type="paragraph" w:styleId="Podnadpis">
    <w:name w:val="Subtitle"/>
    <w:basedOn w:val="Normln"/>
    <w:link w:val="PodnadpisChar"/>
    <w:qFormat/>
    <w:rsid w:val="00F26819"/>
    <w:pPr>
      <w:ind w:firstLine="0"/>
    </w:pPr>
    <w:rPr>
      <w:rFonts w:ascii="Times New Roman" w:hAnsi="Times New Roman"/>
      <w:sz w:val="24"/>
      <w:szCs w:val="20"/>
    </w:rPr>
  </w:style>
  <w:style w:type="paragraph" w:styleId="Nzev">
    <w:name w:val="Title"/>
    <w:basedOn w:val="Normln"/>
    <w:next w:val="Normln"/>
    <w:link w:val="NzevChar"/>
    <w:qFormat/>
    <w:rsid w:val="001A6A50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94FAC"/>
    <w:pPr>
      <w:ind w:left="720" w:firstLine="0"/>
      <w:contextualSpacing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DD792F"/>
    <w:pPr>
      <w:spacing w:after="120"/>
      <w:ind w:left="283"/>
    </w:pPr>
  </w:style>
  <w:style w:type="paragraph" w:customStyle="1" w:styleId="HEL11">
    <w:name w:val="HEL1.1"/>
    <w:basedOn w:val="Normln"/>
    <w:link w:val="HEL11Char"/>
    <w:qFormat/>
    <w:rsid w:val="00DD792F"/>
    <w:pPr>
      <w:ind w:firstLine="0"/>
      <w:jc w:val="both"/>
    </w:pPr>
    <w:rPr>
      <w:rFonts w:ascii="Calibri" w:hAnsi="Calibri"/>
      <w:b/>
      <w:sz w:val="24"/>
    </w:rPr>
  </w:style>
  <w:style w:type="paragraph" w:customStyle="1" w:styleId="HEL12">
    <w:name w:val="HEL1.2"/>
    <w:basedOn w:val="Normln"/>
    <w:link w:val="HEL12Char"/>
    <w:qFormat/>
    <w:rsid w:val="00DD792F"/>
    <w:pPr>
      <w:widowControl w:val="0"/>
      <w:ind w:firstLine="0"/>
      <w:jc w:val="both"/>
    </w:pPr>
    <w:rPr>
      <w:rFonts w:ascii="Calibri" w:hAnsi="Calibri"/>
      <w:b/>
      <w:sz w:val="20"/>
      <w:szCs w:val="22"/>
    </w:rPr>
  </w:style>
  <w:style w:type="paragraph" w:customStyle="1" w:styleId="PMNormalIndent">
    <w:name w:val="PM_NormalIndent"/>
    <w:basedOn w:val="Normlnodsazen"/>
    <w:link w:val="PMNormalIndentChar"/>
    <w:qFormat/>
    <w:rsid w:val="001B4062"/>
    <w:pPr>
      <w:spacing w:before="120" w:after="120"/>
      <w:ind w:left="851" w:firstLine="0"/>
    </w:pPr>
    <w:rPr>
      <w:sz w:val="20"/>
      <w:lang w:val="fr-FR" w:eastAsia="en-GB"/>
    </w:rPr>
  </w:style>
  <w:style w:type="paragraph" w:styleId="Normlnodsazen">
    <w:name w:val="Normal Indent"/>
    <w:basedOn w:val="Normln"/>
    <w:qFormat/>
    <w:rsid w:val="001B4062"/>
    <w:pPr>
      <w:ind w:left="708"/>
    </w:pPr>
  </w:style>
  <w:style w:type="paragraph" w:styleId="Normlnweb">
    <w:name w:val="Normal (Web)"/>
    <w:basedOn w:val="Normln"/>
    <w:uiPriority w:val="99"/>
    <w:unhideWhenUsed/>
    <w:qFormat/>
    <w:rsid w:val="00B04DD4"/>
    <w:pPr>
      <w:spacing w:beforeAutospacing="1" w:afterAutospacing="1"/>
      <w:ind w:firstLine="0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E35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mkazvraznn11">
    <w:name w:val="Světlá mřížka – zvýraznění 11"/>
    <w:basedOn w:val="Normlntabulka"/>
    <w:uiPriority w:val="62"/>
    <w:rsid w:val="00294FAC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Revize">
    <w:name w:val="Revision"/>
    <w:hidden/>
    <w:uiPriority w:val="99"/>
    <w:semiHidden/>
    <w:rsid w:val="002D1223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jpk.cz/TKP_1.pdf" TargetMode="External"/><Relationship Id="rId13" Type="http://schemas.openxmlformats.org/officeDocument/2006/relationships/hyperlink" Target="http://www.pjpk.cz/TKP_1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jpk.cz/TKP_10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jpk.cz/TKP_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jpk.cz/TKP_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jpk.cz/TKP_2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43FE-4DA1-49A6-AC20-1837B91A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1001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EGE-montáže, spol. s r.o.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kratochvilova_01</dc:creator>
  <dc:description/>
  <cp:lastModifiedBy>Jiří Drbohlav</cp:lastModifiedBy>
  <cp:revision>20</cp:revision>
  <cp:lastPrinted>2024-10-17T09:29:00Z</cp:lastPrinted>
  <dcterms:created xsi:type="dcterms:W3CDTF">2024-10-18T19:27:00Z</dcterms:created>
  <dcterms:modified xsi:type="dcterms:W3CDTF">2024-10-21T19:57:00Z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EGE-montáže, spol. s 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