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6F3832">
        <w:rPr>
          <w:rFonts w:asciiTheme="minorHAnsi" w:hAnsiTheme="minorHAnsi" w:cs="Tahoma"/>
          <w:sz w:val="24"/>
          <w:szCs w:val="24"/>
        </w:rPr>
        <w:t>ing. Hana Ortová,</w:t>
      </w:r>
      <w:r w:rsidR="001E0FB4">
        <w:rPr>
          <w:rFonts w:asciiTheme="minorHAnsi" w:hAnsiTheme="minorHAnsi" w:cs="Tahoma"/>
          <w:sz w:val="24"/>
          <w:szCs w:val="24"/>
        </w:rPr>
        <w:t xml:space="preserve"> </w:t>
      </w:r>
      <w:r w:rsidR="008921CC" w:rsidRPr="008921CC">
        <w:rPr>
          <w:rFonts w:asciiTheme="minorHAnsi" w:hAnsiTheme="minorHAnsi" w:cs="Tahoma"/>
          <w:sz w:val="24"/>
          <w:szCs w:val="24"/>
        </w:rPr>
        <w:t>ing. Čihák, ing. Štípek, ing. Kroupa</w:t>
      </w:r>
      <w:r w:rsidR="008921CC">
        <w:rPr>
          <w:rFonts w:asciiTheme="minorHAnsi" w:hAnsiTheme="minorHAnsi" w:cs="Tahoma"/>
          <w:sz w:val="24"/>
          <w:szCs w:val="24"/>
        </w:rPr>
        <w:t xml:space="preserve">, </w:t>
      </w:r>
      <w:r w:rsidR="00543782">
        <w:rPr>
          <w:rFonts w:asciiTheme="minorHAnsi" w:hAnsiTheme="minorHAnsi" w:cs="Tahoma"/>
          <w:sz w:val="24"/>
          <w:szCs w:val="24"/>
        </w:rPr>
        <w:t>ing. Antonín Rak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D2237F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8921CC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646843">
        <w:rPr>
          <w:rFonts w:asciiTheme="minorHAnsi" w:hAnsiTheme="minorHAnsi" w:cs="Tahoma"/>
          <w:sz w:val="24"/>
          <w:szCs w:val="24"/>
        </w:rPr>
        <w:t>3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8921CC">
        <w:rPr>
          <w:rFonts w:asciiTheme="minorHAnsi" w:hAnsiTheme="minorHAnsi" w:cs="Tahoma"/>
          <w:sz w:val="24"/>
          <w:szCs w:val="24"/>
        </w:rPr>
        <w:t>všech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550F1" w:rsidRPr="00571963" w:rsidRDefault="002550F1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2550F1" w:rsidRDefault="002550F1" w:rsidP="002550F1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Stav pohledávek obce k 31. 1. 2015 činil: odpady roku 2014 </w:t>
      </w:r>
      <w:r w:rsidR="00964D19">
        <w:rPr>
          <w:sz w:val="24"/>
          <w:szCs w:val="24"/>
        </w:rPr>
        <w:t xml:space="preserve">a starší </w:t>
      </w:r>
      <w:r w:rsidRPr="00964D19">
        <w:rPr>
          <w:sz w:val="24"/>
          <w:szCs w:val="24"/>
        </w:rPr>
        <w:t xml:space="preserve">činily </w:t>
      </w:r>
      <w:r w:rsidR="00964D19" w:rsidRPr="00964D19">
        <w:rPr>
          <w:sz w:val="24"/>
          <w:szCs w:val="24"/>
        </w:rPr>
        <w:t>31.020</w:t>
      </w:r>
      <w:r w:rsidRPr="00964D19">
        <w:rPr>
          <w:sz w:val="24"/>
          <w:szCs w:val="24"/>
        </w:rPr>
        <w:t xml:space="preserve"> Kč (</w:t>
      </w:r>
      <w:r>
        <w:rPr>
          <w:sz w:val="24"/>
          <w:szCs w:val="24"/>
        </w:rPr>
        <w:t xml:space="preserve">minule 31.995 Kč, předtím 99.055 Kč, předtím 221.045 Kč), nájem </w:t>
      </w:r>
      <w:r w:rsidR="00964D19" w:rsidRPr="00964D19">
        <w:rPr>
          <w:sz w:val="24"/>
          <w:szCs w:val="24"/>
        </w:rPr>
        <w:t>113.936</w:t>
      </w:r>
      <w:r w:rsidRPr="00964D19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(minule 113.936 Kč, předtím 119.566 Kč, předtím 121.784 Kč, hlavní dlužník (111.089 Kč) byl vystěhován</w:t>
      </w:r>
      <w:r w:rsidR="00964D19">
        <w:rPr>
          <w:sz w:val="24"/>
          <w:szCs w:val="24"/>
        </w:rPr>
        <w:t xml:space="preserve"> a pohledávka je vymáhána exekučně</w:t>
      </w:r>
      <w:r>
        <w:rPr>
          <w:sz w:val="24"/>
          <w:szCs w:val="24"/>
        </w:rPr>
        <w:t xml:space="preserve">). Pohledávky za psy </w:t>
      </w:r>
      <w:r w:rsidR="00964D19" w:rsidRPr="00964D19">
        <w:rPr>
          <w:sz w:val="24"/>
          <w:szCs w:val="24"/>
        </w:rPr>
        <w:t>0</w:t>
      </w:r>
      <w:r w:rsidRPr="00964D19">
        <w:rPr>
          <w:sz w:val="24"/>
          <w:szCs w:val="24"/>
        </w:rPr>
        <w:t xml:space="preserve"> Kč (</w:t>
      </w:r>
      <w:r>
        <w:rPr>
          <w:sz w:val="24"/>
          <w:szCs w:val="24"/>
        </w:rPr>
        <w:t xml:space="preserve">minule 100 Kč, předtím 1.100 Kč, předtím 1.900 Kč). Pohledávky ostatní činí </w:t>
      </w:r>
      <w:r w:rsidR="00964D19">
        <w:rPr>
          <w:sz w:val="24"/>
          <w:szCs w:val="24"/>
        </w:rPr>
        <w:t xml:space="preserve">3.545.884 </w:t>
      </w:r>
      <w:r w:rsidRPr="00964D19">
        <w:rPr>
          <w:sz w:val="24"/>
          <w:szCs w:val="24"/>
        </w:rPr>
        <w:t>Kč</w:t>
      </w:r>
      <w:r>
        <w:rPr>
          <w:sz w:val="24"/>
          <w:szCs w:val="24"/>
        </w:rPr>
        <w:t xml:space="preserve"> (</w:t>
      </w:r>
      <w:r w:rsidR="00964D19">
        <w:rPr>
          <w:sz w:val="24"/>
          <w:szCs w:val="24"/>
        </w:rPr>
        <w:t>minule i</w:t>
      </w:r>
      <w:r>
        <w:rPr>
          <w:sz w:val="24"/>
          <w:szCs w:val="24"/>
        </w:rPr>
        <w:t xml:space="preserve"> předtím taktéž 3.545.884 Kč).</w:t>
      </w:r>
    </w:p>
    <w:p w:rsidR="002550F1" w:rsidRDefault="002550F1" w:rsidP="002550F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</w:p>
    <w:p w:rsidR="002550F1" w:rsidRPr="002550F1" w:rsidRDefault="002550F1" w:rsidP="002550F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eastAsia="Times New Roman" w:hAnsiTheme="minorHAnsi" w:cs="Tahoma"/>
          <w:sz w:val="24"/>
          <w:szCs w:val="24"/>
        </w:rPr>
        <w:t>Dále byl FV informován, že za odpady roku 2015 již bylo v měsíci lednu uhrazeno 799.260 Kč a za psy</w:t>
      </w:r>
      <w:r w:rsidRPr="002550F1">
        <w:rPr>
          <w:rFonts w:asciiTheme="minorHAnsi" w:eastAsia="Times New Roman" w:hAnsiTheme="minorHAnsi" w:cs="Tahoma"/>
          <w:sz w:val="24"/>
          <w:szCs w:val="24"/>
        </w:rPr>
        <w:t xml:space="preserve"> </w:t>
      </w:r>
      <w:r>
        <w:rPr>
          <w:rFonts w:asciiTheme="minorHAnsi" w:eastAsia="Times New Roman" w:hAnsiTheme="minorHAnsi" w:cs="Tahoma"/>
          <w:sz w:val="24"/>
          <w:szCs w:val="24"/>
        </w:rPr>
        <w:t>roku 2015 již bylo v měsíci lednu uhrazeno 20.600 Kč.</w:t>
      </w:r>
    </w:p>
    <w:p w:rsidR="002F45FB" w:rsidRPr="00292CA7" w:rsidRDefault="002F45FB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CF461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</w:t>
      </w:r>
      <w:r w:rsidR="001C48ED">
        <w:rPr>
          <w:rFonts w:asciiTheme="minorHAnsi" w:hAnsiTheme="minorHAnsi" w:cs="Tahoma"/>
          <w:sz w:val="24"/>
          <w:szCs w:val="24"/>
        </w:rPr>
        <w:t xml:space="preserve">nalezl </w:t>
      </w:r>
      <w:r w:rsidR="00571963">
        <w:rPr>
          <w:rFonts w:asciiTheme="minorHAnsi" w:hAnsiTheme="minorHAnsi" w:cs="Tahoma"/>
          <w:sz w:val="24"/>
          <w:szCs w:val="24"/>
        </w:rPr>
        <w:t>nedostatky</w:t>
      </w:r>
      <w:r w:rsidR="001C48ED">
        <w:rPr>
          <w:rFonts w:asciiTheme="minorHAnsi" w:hAnsiTheme="minorHAnsi" w:cs="Tahoma"/>
          <w:sz w:val="24"/>
          <w:szCs w:val="24"/>
        </w:rPr>
        <w:t>, byly však v průběhu kontroly odstraněny</w:t>
      </w:r>
      <w:r w:rsidR="00571963">
        <w:rPr>
          <w:rFonts w:asciiTheme="minorHAnsi" w:hAnsiTheme="minorHAnsi" w:cs="Tahoma"/>
          <w:sz w:val="24"/>
          <w:szCs w:val="24"/>
        </w:rPr>
        <w:t xml:space="preserve">. </w:t>
      </w:r>
    </w:p>
    <w:p w:rsidR="00571963" w:rsidRDefault="00571963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393E44" w:rsidRPr="006243F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1C48ED" w:rsidRPr="00D76DDA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nalezl nedostatky, byly však v průběhu kontroly odstraněny. </w:t>
      </w:r>
    </w:p>
    <w:p w:rsidR="00A643EC" w:rsidRDefault="00A643EC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1C48ED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Stav na účtu k 31. 1. 2014 činil </w:t>
      </w:r>
      <w:r w:rsidRPr="00803AB6">
        <w:rPr>
          <w:rFonts w:cs="Tahoma"/>
          <w:sz w:val="24"/>
          <w:szCs w:val="24"/>
        </w:rPr>
        <w:t>+17.026 tis. Kč.</w:t>
      </w:r>
      <w:r>
        <w:rPr>
          <w:rFonts w:cs="Tahoma"/>
          <w:sz w:val="24"/>
          <w:szCs w:val="24"/>
        </w:rPr>
        <w:t xml:space="preserve"> Plán CF nám </w:t>
      </w:r>
      <w:r w:rsidRPr="00803AB6">
        <w:rPr>
          <w:rFonts w:cs="Tahoma"/>
          <w:sz w:val="24"/>
          <w:szCs w:val="24"/>
        </w:rPr>
        <w:t>byl</w:t>
      </w:r>
      <w:r>
        <w:rPr>
          <w:rFonts w:cs="Tahoma"/>
          <w:sz w:val="24"/>
          <w:szCs w:val="24"/>
        </w:rPr>
        <w:t xml:space="preserve"> předložen. Mírné znepokojení vyvolává propad lednových daňových příjmů.</w:t>
      </w: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v předminulém zápisu doporučoval obci následovat školu výměnou bankovního ústavu, ať už podle vzoru školy, nebo vlastním výběrovým řízením.</w:t>
      </w: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doporučuje vedení obce ukládat na termínové účty volné prostředky (například Municipální vklad J&amp;T), pro zvýšení bezpečnosti spíše po balíčcích po 2,5 mil. Kč.</w:t>
      </w: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kvituje, že byl pro rok 2015 upraven rozpočet i plán CF tak, že by na konci roku měla obec disponovat rezervou ve výši minimálně 5 mil Kč jako úložku pro budoucí náklady do výstavby školy.</w:t>
      </w:r>
    </w:p>
    <w:p w:rsidR="001C48ED" w:rsidRDefault="001C48ED" w:rsidP="002550F1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1C48ED" w:rsidRPr="00614901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614901">
        <w:rPr>
          <w:rFonts w:cs="Tahoma"/>
          <w:sz w:val="24"/>
          <w:szCs w:val="24"/>
          <w:u w:val="single"/>
        </w:rPr>
        <w:t>Výherní automaty v obci</w:t>
      </w: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diskutoval vedením obce anoncovaný záměr o regulaci výherních automatů. Nedobral se jednotného závěru, především pro nedostatek informací – například riziko ekonomické likvidace restaurací, přesun problémů mimo obec, nelegální automaty, kde je hranice zdravé a nezdravé regulace apod.</w:t>
      </w: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1C48ED" w:rsidRPr="00BD10CA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BD10CA">
        <w:rPr>
          <w:rFonts w:cs="Tahoma"/>
          <w:sz w:val="24"/>
          <w:szCs w:val="24"/>
          <w:u w:val="single"/>
        </w:rPr>
        <w:t>Proplácení dovolených</w:t>
      </w: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diskutoval nad správností využití institutu proplácení dovolených a má za to, že </w:t>
      </w:r>
      <w:r>
        <w:rPr>
          <w:sz w:val="24"/>
          <w:szCs w:val="24"/>
        </w:rPr>
        <w:t>by obec neměla jít cestou proplácení dovolených, vyjma rozvázání pracovního poměru. Dále FV doporučuje, aby případné proplácení dovolených v budoucnu schvalovalo zastupitelstvo.</w:t>
      </w:r>
    </w:p>
    <w:p w:rsidR="001C48ED" w:rsidRDefault="001C48ED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1C48ED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zachová postupy zavedené v předchozím období (zejména ing. Ortová, ing. Rak).</w:t>
      </w:r>
    </w:p>
    <w:p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spolupracovat při inventarizaci v ZŠ a MŠ Psáry, při aktualizaci směrnic ZŠ a MŠ (zejména ing. Čihák).</w:t>
      </w:r>
    </w:p>
    <w:p w:rsidR="001C48ED" w:rsidRPr="00450A1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450A1D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 xml:space="preserve">posléze </w:t>
      </w:r>
      <w:r w:rsidRPr="00450A1D">
        <w:rPr>
          <w:rFonts w:asciiTheme="minorHAnsi" w:hAnsiTheme="minorHAnsi" w:cs="Tahoma"/>
          <w:sz w:val="24"/>
          <w:szCs w:val="24"/>
        </w:rPr>
        <w:t>navrhne a uvede v život zjednodušenou verzi CF ZŠ a MŠ Psáry – zatím však tvorba modelu CF s ohledem na stav na účtu a stabilitu výdajů nemá opodstatnění</w:t>
      </w:r>
      <w:r>
        <w:rPr>
          <w:rFonts w:asciiTheme="minorHAnsi" w:hAnsiTheme="minorHAnsi" w:cs="Tahoma"/>
          <w:sz w:val="24"/>
          <w:szCs w:val="24"/>
        </w:rPr>
        <w:t>.</w:t>
      </w:r>
    </w:p>
    <w:p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i díky svému personálnímu propojení bude koordinovat svou práci s KV (zejména ing. Čihák).</w:t>
      </w:r>
    </w:p>
    <w:p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hodlá v obci více rozvíjet strategii výdajů v dlouhodobějším horizontu. (zejména ing. Štípek).</w:t>
      </w:r>
    </w:p>
    <w:p w:rsidR="001C48ED" w:rsidRPr="00450A1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450A1D">
        <w:rPr>
          <w:rFonts w:asciiTheme="minorHAnsi" w:hAnsiTheme="minorHAnsi" w:cs="Tahoma"/>
          <w:sz w:val="24"/>
          <w:szCs w:val="24"/>
        </w:rPr>
        <w:t>FV hodlá vypracovat matematický model na odpadové hospodářství (příjmy, výdaje v členění podle druhů odpadů) pro případnou diskusi nad úpravami pro příští roky</w:t>
      </w:r>
      <w:r>
        <w:rPr>
          <w:rFonts w:asciiTheme="minorHAnsi" w:hAnsiTheme="minorHAnsi" w:cs="Tahoma"/>
          <w:sz w:val="24"/>
          <w:szCs w:val="24"/>
        </w:rPr>
        <w:t xml:space="preserve"> (zejména ing. Štípek, ing. Rak).</w:t>
      </w:r>
    </w:p>
    <w:p w:rsidR="00127989" w:rsidRDefault="00127989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8921CC">
        <w:rPr>
          <w:rFonts w:cs="Tahoma"/>
          <w:sz w:val="24"/>
          <w:szCs w:val="24"/>
        </w:rPr>
        <w:t>8</w:t>
      </w:r>
      <w:r w:rsidR="0024105F">
        <w:rPr>
          <w:rFonts w:cs="Tahoma"/>
          <w:sz w:val="24"/>
          <w:szCs w:val="24"/>
        </w:rPr>
        <w:t>:</w:t>
      </w:r>
      <w:r w:rsidR="00646843">
        <w:rPr>
          <w:rFonts w:cs="Tahoma"/>
          <w:sz w:val="24"/>
          <w:szCs w:val="24"/>
        </w:rPr>
        <w:t>30</w:t>
      </w:r>
      <w:r w:rsidR="003138BE">
        <w:rPr>
          <w:rFonts w:cs="Tahoma"/>
          <w:sz w:val="24"/>
          <w:szCs w:val="24"/>
        </w:rPr>
        <w:t xml:space="preserve"> hodin.</w:t>
      </w: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646843">
        <w:rPr>
          <w:rFonts w:cs="Tahoma"/>
          <w:sz w:val="24"/>
          <w:szCs w:val="24"/>
        </w:rPr>
        <w:t>13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8921CC">
        <w:rPr>
          <w:rFonts w:cs="Tahoma"/>
          <w:sz w:val="24"/>
          <w:szCs w:val="24"/>
        </w:rPr>
        <w:t>2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E62C4F">
        <w:rPr>
          <w:rFonts w:cs="Tahoma"/>
          <w:sz w:val="24"/>
          <w:szCs w:val="24"/>
        </w:rPr>
        <w:t>201</w:t>
      </w:r>
      <w:r w:rsidR="00646843">
        <w:rPr>
          <w:rFonts w:cs="Tahoma"/>
          <w:sz w:val="24"/>
          <w:szCs w:val="24"/>
        </w:rPr>
        <w:t>5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Zapsal: Rak</w:t>
      </w: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E8" w:rsidRDefault="00CD6CE8" w:rsidP="0028518B">
      <w:pPr>
        <w:spacing w:after="0" w:line="240" w:lineRule="auto"/>
      </w:pPr>
      <w:r>
        <w:separator/>
      </w:r>
    </w:p>
  </w:endnote>
  <w:endnote w:type="continuationSeparator" w:id="0">
    <w:p w:rsidR="00CD6CE8" w:rsidRDefault="00CD6CE8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646843">
      <w:rPr>
        <w:rFonts w:ascii="Cambria" w:hAnsi="Cambria"/>
      </w:rPr>
      <w:t>1/2015</w:t>
    </w:r>
    <w:r w:rsidR="00DD74F1">
      <w:rPr>
        <w:rFonts w:ascii="Cambria" w:hAnsi="Cambria"/>
      </w:rPr>
      <w:tab/>
      <w:t xml:space="preserve">Stránka </w:t>
    </w:r>
    <w:r w:rsidR="00350877">
      <w:fldChar w:fldCharType="begin"/>
    </w:r>
    <w:r w:rsidR="00942FAD">
      <w:instrText xml:space="preserve"> PAGE   \* MERGEFORMAT </w:instrText>
    </w:r>
    <w:r w:rsidR="00350877">
      <w:fldChar w:fldCharType="separate"/>
    </w:r>
    <w:r w:rsidR="00F30000" w:rsidRPr="00F30000">
      <w:rPr>
        <w:rFonts w:ascii="Cambria" w:hAnsi="Cambria"/>
        <w:noProof/>
      </w:rPr>
      <w:t>2</w:t>
    </w:r>
    <w:r w:rsidR="0035087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E8" w:rsidRDefault="00CD6CE8" w:rsidP="0028518B">
      <w:pPr>
        <w:spacing w:after="0" w:line="240" w:lineRule="auto"/>
      </w:pPr>
      <w:r>
        <w:separator/>
      </w:r>
    </w:p>
  </w:footnote>
  <w:footnote w:type="continuationSeparator" w:id="0">
    <w:p w:rsidR="00CD6CE8" w:rsidRDefault="00CD6CE8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>ího výboru obce Psáry č.</w:t>
    </w:r>
    <w:r w:rsidR="008921CC">
      <w:rPr>
        <w:rFonts w:cs="Tahoma"/>
        <w:b/>
        <w:sz w:val="32"/>
        <w:szCs w:val="32"/>
      </w:rPr>
      <w:t xml:space="preserve"> </w:t>
    </w:r>
    <w:r w:rsidR="00646843">
      <w:rPr>
        <w:rFonts w:cs="Tahoma"/>
        <w:b/>
        <w:sz w:val="32"/>
        <w:szCs w:val="32"/>
      </w:rPr>
      <w:t>1</w:t>
    </w:r>
    <w:r w:rsidR="00AD7DD7">
      <w:rPr>
        <w:rFonts w:cs="Tahoma"/>
        <w:b/>
        <w:sz w:val="32"/>
        <w:szCs w:val="32"/>
      </w:rPr>
      <w:t>/201</w:t>
    </w:r>
    <w:r w:rsidR="00646843">
      <w:rPr>
        <w:rFonts w:cs="Tahoma"/>
        <w:b/>
        <w:sz w:val="32"/>
        <w:szCs w:val="32"/>
      </w:rPr>
      <w:t>5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646843">
      <w:rPr>
        <w:rFonts w:cs="Tahoma"/>
        <w:b/>
        <w:sz w:val="32"/>
        <w:szCs w:val="32"/>
      </w:rPr>
      <w:t>13</w:t>
    </w:r>
    <w:r w:rsidRPr="00F03AAA">
      <w:rPr>
        <w:rFonts w:cs="Tahoma"/>
        <w:b/>
        <w:sz w:val="32"/>
        <w:szCs w:val="32"/>
      </w:rPr>
      <w:t xml:space="preserve">. </w:t>
    </w:r>
    <w:r w:rsidR="008921CC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. 201</w:t>
    </w:r>
    <w:r w:rsidR="00646843">
      <w:rPr>
        <w:rFonts w:cs="Tahoma"/>
        <w:b/>
        <w:sz w:val="32"/>
        <w:szCs w:val="32"/>
      </w:rPr>
      <w:t>5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871C7"/>
    <w:rsid w:val="00091BE7"/>
    <w:rsid w:val="00094A16"/>
    <w:rsid w:val="00096A5C"/>
    <w:rsid w:val="000B47FB"/>
    <w:rsid w:val="000B5480"/>
    <w:rsid w:val="000C1C4F"/>
    <w:rsid w:val="000D1AE0"/>
    <w:rsid w:val="000D37E6"/>
    <w:rsid w:val="000E5EEA"/>
    <w:rsid w:val="000F6D67"/>
    <w:rsid w:val="001019FA"/>
    <w:rsid w:val="001078EC"/>
    <w:rsid w:val="00107D31"/>
    <w:rsid w:val="001240C6"/>
    <w:rsid w:val="001240E4"/>
    <w:rsid w:val="00127989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A7C93"/>
    <w:rsid w:val="001C31F5"/>
    <w:rsid w:val="001C48ED"/>
    <w:rsid w:val="001C6ADE"/>
    <w:rsid w:val="001D52EA"/>
    <w:rsid w:val="001E0B6E"/>
    <w:rsid w:val="001E0FB4"/>
    <w:rsid w:val="001F1C39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37C84"/>
    <w:rsid w:val="0024105F"/>
    <w:rsid w:val="0024648D"/>
    <w:rsid w:val="002550F1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B29DA"/>
    <w:rsid w:val="002B388A"/>
    <w:rsid w:val="002C3931"/>
    <w:rsid w:val="002D067A"/>
    <w:rsid w:val="002D09D8"/>
    <w:rsid w:val="002D1582"/>
    <w:rsid w:val="002D2399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0564"/>
    <w:rsid w:val="003F4563"/>
    <w:rsid w:val="00402A99"/>
    <w:rsid w:val="00402EEA"/>
    <w:rsid w:val="00417207"/>
    <w:rsid w:val="00422FBE"/>
    <w:rsid w:val="00427A33"/>
    <w:rsid w:val="00431ABB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86811"/>
    <w:rsid w:val="00493D20"/>
    <w:rsid w:val="004A1C51"/>
    <w:rsid w:val="004B1791"/>
    <w:rsid w:val="004B1D8E"/>
    <w:rsid w:val="004B2EFE"/>
    <w:rsid w:val="004B71CD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4F6B66"/>
    <w:rsid w:val="00500634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09DA"/>
    <w:rsid w:val="005A2379"/>
    <w:rsid w:val="005A506B"/>
    <w:rsid w:val="005A69FB"/>
    <w:rsid w:val="005B31A2"/>
    <w:rsid w:val="005B3205"/>
    <w:rsid w:val="005C6509"/>
    <w:rsid w:val="005D2FCF"/>
    <w:rsid w:val="005D4ADA"/>
    <w:rsid w:val="005F1353"/>
    <w:rsid w:val="0060143E"/>
    <w:rsid w:val="00602083"/>
    <w:rsid w:val="00604343"/>
    <w:rsid w:val="0060755B"/>
    <w:rsid w:val="006243F4"/>
    <w:rsid w:val="00625065"/>
    <w:rsid w:val="00636B43"/>
    <w:rsid w:val="006414A7"/>
    <w:rsid w:val="00646843"/>
    <w:rsid w:val="006477AE"/>
    <w:rsid w:val="0065282B"/>
    <w:rsid w:val="00657225"/>
    <w:rsid w:val="00660975"/>
    <w:rsid w:val="006621F2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E4D31"/>
    <w:rsid w:val="006F15C0"/>
    <w:rsid w:val="006F3832"/>
    <w:rsid w:val="007006D9"/>
    <w:rsid w:val="00701E4F"/>
    <w:rsid w:val="00703670"/>
    <w:rsid w:val="00713910"/>
    <w:rsid w:val="0071591B"/>
    <w:rsid w:val="00717028"/>
    <w:rsid w:val="0072596F"/>
    <w:rsid w:val="0073469A"/>
    <w:rsid w:val="00734B25"/>
    <w:rsid w:val="00735C22"/>
    <w:rsid w:val="00735C9B"/>
    <w:rsid w:val="00740D98"/>
    <w:rsid w:val="00745289"/>
    <w:rsid w:val="00751D6A"/>
    <w:rsid w:val="007569D1"/>
    <w:rsid w:val="0076381C"/>
    <w:rsid w:val="00772AD2"/>
    <w:rsid w:val="0078791C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1EBE"/>
    <w:rsid w:val="00832813"/>
    <w:rsid w:val="00833638"/>
    <w:rsid w:val="00840029"/>
    <w:rsid w:val="008406A6"/>
    <w:rsid w:val="00864D46"/>
    <w:rsid w:val="00882DEB"/>
    <w:rsid w:val="00885368"/>
    <w:rsid w:val="008921CC"/>
    <w:rsid w:val="00894D7C"/>
    <w:rsid w:val="008A3559"/>
    <w:rsid w:val="008A4B4A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26336"/>
    <w:rsid w:val="009319C2"/>
    <w:rsid w:val="00932570"/>
    <w:rsid w:val="009426A9"/>
    <w:rsid w:val="00942FAD"/>
    <w:rsid w:val="00945510"/>
    <w:rsid w:val="00950779"/>
    <w:rsid w:val="009555C9"/>
    <w:rsid w:val="0096397E"/>
    <w:rsid w:val="00964D19"/>
    <w:rsid w:val="00970255"/>
    <w:rsid w:val="009821E7"/>
    <w:rsid w:val="009847CA"/>
    <w:rsid w:val="00985B13"/>
    <w:rsid w:val="00996D41"/>
    <w:rsid w:val="009A19CF"/>
    <w:rsid w:val="009B049E"/>
    <w:rsid w:val="009C01CC"/>
    <w:rsid w:val="009D256B"/>
    <w:rsid w:val="009D37A3"/>
    <w:rsid w:val="009F147A"/>
    <w:rsid w:val="009F1BD2"/>
    <w:rsid w:val="009F7EAC"/>
    <w:rsid w:val="00A0370D"/>
    <w:rsid w:val="00A04389"/>
    <w:rsid w:val="00A11AED"/>
    <w:rsid w:val="00A16AC4"/>
    <w:rsid w:val="00A21DEC"/>
    <w:rsid w:val="00A224A7"/>
    <w:rsid w:val="00A32537"/>
    <w:rsid w:val="00A32F73"/>
    <w:rsid w:val="00A501F4"/>
    <w:rsid w:val="00A523E9"/>
    <w:rsid w:val="00A5706A"/>
    <w:rsid w:val="00A606DA"/>
    <w:rsid w:val="00A643EC"/>
    <w:rsid w:val="00A65A54"/>
    <w:rsid w:val="00A66475"/>
    <w:rsid w:val="00A86BE3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27263"/>
    <w:rsid w:val="00B33A22"/>
    <w:rsid w:val="00B37FEA"/>
    <w:rsid w:val="00B646F1"/>
    <w:rsid w:val="00B6615A"/>
    <w:rsid w:val="00B73022"/>
    <w:rsid w:val="00B775F8"/>
    <w:rsid w:val="00B92573"/>
    <w:rsid w:val="00BA051A"/>
    <w:rsid w:val="00BB32A1"/>
    <w:rsid w:val="00BB54E8"/>
    <w:rsid w:val="00BC2E4B"/>
    <w:rsid w:val="00BC3E70"/>
    <w:rsid w:val="00BC79D7"/>
    <w:rsid w:val="00BD6419"/>
    <w:rsid w:val="00BE1D1D"/>
    <w:rsid w:val="00BF0205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D6CE8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601CE"/>
    <w:rsid w:val="00D6172F"/>
    <w:rsid w:val="00D70099"/>
    <w:rsid w:val="00D73F69"/>
    <w:rsid w:val="00D76DDA"/>
    <w:rsid w:val="00D7734C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57B8B"/>
    <w:rsid w:val="00E62C4F"/>
    <w:rsid w:val="00E647BA"/>
    <w:rsid w:val="00E654A2"/>
    <w:rsid w:val="00E661A6"/>
    <w:rsid w:val="00E66438"/>
    <w:rsid w:val="00E67BFA"/>
    <w:rsid w:val="00E70882"/>
    <w:rsid w:val="00E73C43"/>
    <w:rsid w:val="00E75F14"/>
    <w:rsid w:val="00E90482"/>
    <w:rsid w:val="00E93D55"/>
    <w:rsid w:val="00EA0D43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0000"/>
    <w:rsid w:val="00F464E3"/>
    <w:rsid w:val="00F47208"/>
    <w:rsid w:val="00F5127E"/>
    <w:rsid w:val="00F661AE"/>
    <w:rsid w:val="00F66FDC"/>
    <w:rsid w:val="00F84EC6"/>
    <w:rsid w:val="00F876C8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85BA-57CB-4D92-8E83-6A414E49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Ivana Šimková</cp:lastModifiedBy>
  <cp:revision>2</cp:revision>
  <cp:lastPrinted>2011-04-07T05:32:00Z</cp:lastPrinted>
  <dcterms:created xsi:type="dcterms:W3CDTF">2015-02-13T12:59:00Z</dcterms:created>
  <dcterms:modified xsi:type="dcterms:W3CDTF">2015-02-13T12:59:00Z</dcterms:modified>
</cp:coreProperties>
</file>