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bookmarkStart w:id="0" w:name="_GoBack"/>
      <w:bookmarkEnd w:id="0"/>
    </w:p>
    <w:p w:rsidR="00570B51" w:rsidRP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AA5BCD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>Datum konání:</w:t>
      </w:r>
      <w:r w:rsidRPr="00AA5BCD">
        <w:rPr>
          <w:rFonts w:cs="Tahoma"/>
          <w:sz w:val="24"/>
          <w:szCs w:val="24"/>
        </w:rPr>
        <w:t xml:space="preserve">  </w:t>
      </w:r>
      <w:r w:rsidR="00F60C40">
        <w:rPr>
          <w:rFonts w:cs="Tahoma"/>
          <w:sz w:val="24"/>
          <w:szCs w:val="24"/>
        </w:rPr>
        <w:t>04</w:t>
      </w:r>
      <w:r w:rsidRPr="00AA5BCD">
        <w:rPr>
          <w:rFonts w:cs="Tahoma"/>
          <w:sz w:val="24"/>
          <w:szCs w:val="24"/>
        </w:rPr>
        <w:t>.</w:t>
      </w:r>
      <w:r w:rsidR="00EB5C79">
        <w:rPr>
          <w:rFonts w:cs="Tahoma"/>
          <w:sz w:val="24"/>
          <w:szCs w:val="24"/>
        </w:rPr>
        <w:t>0</w:t>
      </w:r>
      <w:r w:rsidR="00F60C40">
        <w:rPr>
          <w:rFonts w:cs="Tahoma"/>
          <w:sz w:val="24"/>
          <w:szCs w:val="24"/>
        </w:rPr>
        <w:t>6</w:t>
      </w:r>
      <w:r w:rsidRPr="00AA5BCD">
        <w:rPr>
          <w:rFonts w:cs="Tahoma"/>
          <w:sz w:val="24"/>
          <w:szCs w:val="24"/>
        </w:rPr>
        <w:t>.201</w:t>
      </w:r>
      <w:r w:rsidR="004401F9">
        <w:rPr>
          <w:rFonts w:cs="Tahoma"/>
          <w:sz w:val="24"/>
          <w:szCs w:val="24"/>
        </w:rPr>
        <w:t>2</w:t>
      </w:r>
      <w:r w:rsidR="0025121A">
        <w:rPr>
          <w:rFonts w:cs="Tahoma"/>
          <w:sz w:val="24"/>
          <w:szCs w:val="24"/>
        </w:rPr>
        <w:t xml:space="preserve">, místo konání: </w:t>
      </w:r>
      <w:r w:rsidR="00A65087">
        <w:rPr>
          <w:rFonts w:cs="Tahoma"/>
          <w:sz w:val="24"/>
          <w:szCs w:val="24"/>
        </w:rPr>
        <w:t xml:space="preserve">budova </w:t>
      </w:r>
      <w:r w:rsidR="0025121A">
        <w:rPr>
          <w:rFonts w:cs="Tahoma"/>
          <w:sz w:val="24"/>
          <w:szCs w:val="24"/>
        </w:rPr>
        <w:t>ZŠ, zahájení v 15 hod., ukončení v</w:t>
      </w:r>
      <w:r w:rsidR="00545D26">
        <w:rPr>
          <w:rFonts w:cs="Tahoma"/>
          <w:sz w:val="24"/>
          <w:szCs w:val="24"/>
        </w:rPr>
        <w:t xml:space="preserve"> cca</w:t>
      </w:r>
      <w:r w:rsidR="00A65087">
        <w:rPr>
          <w:rFonts w:cs="Tahoma"/>
          <w:sz w:val="24"/>
          <w:szCs w:val="24"/>
        </w:rPr>
        <w:t> </w:t>
      </w:r>
      <w:r w:rsidR="00F60C40">
        <w:rPr>
          <w:rFonts w:cs="Tahoma"/>
          <w:sz w:val="24"/>
          <w:szCs w:val="24"/>
        </w:rPr>
        <w:t>15:45</w:t>
      </w:r>
      <w:r w:rsidR="0025121A">
        <w:rPr>
          <w:rFonts w:cs="Tahoma"/>
          <w:sz w:val="24"/>
          <w:szCs w:val="24"/>
        </w:rPr>
        <w:t xml:space="preserve"> hod.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 xml:space="preserve">Kontroly se </w:t>
      </w:r>
      <w:r w:rsidR="00687032" w:rsidRPr="00AA5BCD">
        <w:rPr>
          <w:rFonts w:cs="Tahoma"/>
          <w:sz w:val="24"/>
          <w:szCs w:val="24"/>
          <w:u w:val="single"/>
        </w:rPr>
        <w:t>z</w:t>
      </w:r>
      <w:r w:rsidRPr="00AA5BCD">
        <w:rPr>
          <w:rFonts w:cs="Tahoma"/>
          <w:sz w:val="24"/>
          <w:szCs w:val="24"/>
          <w:u w:val="single"/>
        </w:rPr>
        <w:t>účastnili:</w:t>
      </w:r>
      <w:r w:rsidR="00687032" w:rsidRPr="00AA5BCD">
        <w:rPr>
          <w:rFonts w:cs="Tahoma"/>
          <w:sz w:val="24"/>
          <w:szCs w:val="24"/>
        </w:rPr>
        <w:t xml:space="preserve"> </w:t>
      </w:r>
      <w:r w:rsidRPr="00AA5BCD">
        <w:rPr>
          <w:rFonts w:cs="Tahoma"/>
          <w:sz w:val="24"/>
          <w:szCs w:val="24"/>
        </w:rPr>
        <w:t xml:space="preserve">ing. Rak, </w:t>
      </w:r>
      <w:r w:rsidR="00F60C40">
        <w:rPr>
          <w:rFonts w:cs="Tahoma"/>
          <w:sz w:val="24"/>
          <w:szCs w:val="24"/>
        </w:rPr>
        <w:t>ing. Kriegsman</w:t>
      </w:r>
      <w:r w:rsidR="00A65087">
        <w:rPr>
          <w:rFonts w:cs="Tahoma"/>
          <w:sz w:val="24"/>
          <w:szCs w:val="24"/>
        </w:rPr>
        <w:t>, ing. Ortová</w:t>
      </w:r>
      <w:r w:rsidR="00F60C40">
        <w:rPr>
          <w:rFonts w:cs="Tahoma"/>
          <w:sz w:val="24"/>
          <w:szCs w:val="24"/>
        </w:rPr>
        <w:t xml:space="preserve">, ing. Kříž  </w:t>
      </w:r>
      <w:r w:rsidRPr="00AA5BCD">
        <w:rPr>
          <w:rFonts w:cs="Tahoma"/>
          <w:sz w:val="24"/>
          <w:szCs w:val="24"/>
        </w:rPr>
        <w:t>–  finanční výbor</w:t>
      </w:r>
    </w:p>
    <w:p w:rsidR="00465218" w:rsidRDefault="0025121A" w:rsidP="006A2A0E">
      <w:pPr>
        <w:spacing w:after="0" w:line="240" w:lineRule="auto"/>
        <w:ind w:left="2124"/>
        <w:rPr>
          <w:rFonts w:cs="Tahoma"/>
          <w:sz w:val="24"/>
          <w:szCs w:val="24"/>
        </w:rPr>
      </w:pPr>
      <w:r w:rsidRPr="0025121A">
        <w:rPr>
          <w:rFonts w:cs="Tahoma"/>
          <w:sz w:val="24"/>
          <w:szCs w:val="24"/>
        </w:rPr>
        <w:t xml:space="preserve">Mgr. </w:t>
      </w:r>
      <w:r w:rsidR="00465218">
        <w:rPr>
          <w:rFonts w:cs="Tahoma"/>
          <w:sz w:val="24"/>
          <w:szCs w:val="24"/>
        </w:rPr>
        <w:t>Běťáková</w:t>
      </w:r>
      <w:r w:rsidR="00A65087">
        <w:rPr>
          <w:rFonts w:cs="Tahoma"/>
          <w:sz w:val="24"/>
          <w:szCs w:val="24"/>
        </w:rPr>
        <w:t xml:space="preserve"> – </w:t>
      </w:r>
      <w:r w:rsidR="00465218">
        <w:rPr>
          <w:rFonts w:cs="Tahoma"/>
          <w:sz w:val="24"/>
          <w:szCs w:val="24"/>
        </w:rPr>
        <w:t xml:space="preserve">zástupkyně </w:t>
      </w:r>
      <w:r w:rsidR="00A65087">
        <w:rPr>
          <w:rFonts w:cs="Tahoma"/>
          <w:sz w:val="24"/>
          <w:szCs w:val="24"/>
        </w:rPr>
        <w:t>ředitelk</w:t>
      </w:r>
      <w:r w:rsidR="00465218">
        <w:rPr>
          <w:rFonts w:cs="Tahoma"/>
          <w:sz w:val="24"/>
          <w:szCs w:val="24"/>
        </w:rPr>
        <w:t>y</w:t>
      </w:r>
      <w:r w:rsidR="00A65087">
        <w:rPr>
          <w:rFonts w:cs="Tahoma"/>
          <w:sz w:val="24"/>
          <w:szCs w:val="24"/>
        </w:rPr>
        <w:t xml:space="preserve"> Z</w:t>
      </w:r>
      <w:r w:rsidR="00EB5C79">
        <w:rPr>
          <w:rFonts w:cs="Tahoma"/>
          <w:sz w:val="24"/>
          <w:szCs w:val="24"/>
        </w:rPr>
        <w:t xml:space="preserve">Š a </w:t>
      </w:r>
      <w:r w:rsidR="00A65087">
        <w:rPr>
          <w:rFonts w:cs="Tahoma"/>
          <w:sz w:val="24"/>
          <w:szCs w:val="24"/>
        </w:rPr>
        <w:t>M</w:t>
      </w:r>
      <w:r w:rsidR="00465218">
        <w:rPr>
          <w:rFonts w:cs="Tahoma"/>
          <w:sz w:val="24"/>
          <w:szCs w:val="24"/>
        </w:rPr>
        <w:t xml:space="preserve">Š, </w:t>
      </w:r>
      <w:r w:rsidR="007527B5">
        <w:rPr>
          <w:rFonts w:cs="Tahoma"/>
          <w:sz w:val="24"/>
          <w:szCs w:val="24"/>
        </w:rPr>
        <w:t>Ing</w:t>
      </w:r>
      <w:r w:rsidR="00F60C40">
        <w:rPr>
          <w:rFonts w:cs="Tahoma"/>
          <w:sz w:val="24"/>
          <w:szCs w:val="24"/>
        </w:rPr>
        <w:t>. Vintíšková -</w:t>
      </w:r>
      <w:r w:rsidR="00465218">
        <w:rPr>
          <w:rFonts w:cs="Tahoma"/>
          <w:sz w:val="24"/>
          <w:szCs w:val="24"/>
        </w:rPr>
        <w:t xml:space="preserve"> účetní</w:t>
      </w:r>
    </w:p>
    <w:p w:rsidR="006A2A0E" w:rsidRPr="00AA5BCD" w:rsidRDefault="006A2A0E" w:rsidP="006A2A0E">
      <w:pPr>
        <w:spacing w:after="0" w:line="408" w:lineRule="auto"/>
        <w:ind w:left="2124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AA5BCD">
        <w:rPr>
          <w:rFonts w:cs="Tahoma"/>
          <w:sz w:val="24"/>
          <w:szCs w:val="24"/>
          <w:u w:val="single"/>
        </w:rPr>
        <w:t>Průběh kontroly:</w:t>
      </w:r>
    </w:p>
    <w:p w:rsid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průběhu kontroly hospodaření byla provedena kontrola </w:t>
      </w:r>
      <w:r w:rsidR="00100BA7">
        <w:rPr>
          <w:rFonts w:cs="Tahoma"/>
          <w:sz w:val="24"/>
          <w:szCs w:val="24"/>
        </w:rPr>
        <w:t>účetních dokladů: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Přijatých faktur č. </w:t>
      </w:r>
      <w:r w:rsidR="00F60C40">
        <w:rPr>
          <w:rFonts w:cs="Tahoma"/>
          <w:sz w:val="24"/>
          <w:szCs w:val="24"/>
        </w:rPr>
        <w:t>99</w:t>
      </w:r>
      <w:r>
        <w:rPr>
          <w:rFonts w:cs="Tahoma"/>
          <w:sz w:val="24"/>
          <w:szCs w:val="24"/>
        </w:rPr>
        <w:t xml:space="preserve"> – </w:t>
      </w:r>
      <w:r w:rsidR="00F60C40">
        <w:rPr>
          <w:rFonts w:cs="Tahoma"/>
          <w:sz w:val="24"/>
          <w:szCs w:val="24"/>
        </w:rPr>
        <w:t>157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Pokladních dokladů č. </w:t>
      </w:r>
      <w:r w:rsidR="00F60C40">
        <w:rPr>
          <w:rFonts w:cs="Tahoma"/>
          <w:sz w:val="24"/>
          <w:szCs w:val="24"/>
        </w:rPr>
        <w:t>78</w:t>
      </w:r>
      <w:r>
        <w:rPr>
          <w:rFonts w:cs="Tahoma"/>
          <w:sz w:val="24"/>
          <w:szCs w:val="24"/>
        </w:rPr>
        <w:t xml:space="preserve"> – </w:t>
      </w:r>
      <w:r w:rsidR="00F60C40">
        <w:rPr>
          <w:rFonts w:cs="Tahoma"/>
          <w:sz w:val="24"/>
          <w:szCs w:val="24"/>
        </w:rPr>
        <w:t>98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Výpisů z účtu </w:t>
      </w:r>
      <w:r w:rsidR="004401F9">
        <w:rPr>
          <w:rFonts w:cs="Tahoma"/>
          <w:sz w:val="24"/>
          <w:szCs w:val="24"/>
        </w:rPr>
        <w:t>(elektronických)</w:t>
      </w:r>
      <w:r w:rsidR="00F60C40">
        <w:rPr>
          <w:rFonts w:cs="Tahoma"/>
          <w:sz w:val="24"/>
          <w:szCs w:val="24"/>
        </w:rPr>
        <w:t xml:space="preserve"> za </w:t>
      </w:r>
      <w:r w:rsidR="00954DFA">
        <w:rPr>
          <w:rFonts w:cs="Tahoma"/>
          <w:sz w:val="24"/>
          <w:szCs w:val="24"/>
        </w:rPr>
        <w:t>d</w:t>
      </w:r>
      <w:r w:rsidR="00F60C40">
        <w:rPr>
          <w:rFonts w:cs="Tahoma"/>
          <w:sz w:val="24"/>
          <w:szCs w:val="24"/>
        </w:rPr>
        <w:t>uben až květ</w:t>
      </w:r>
      <w:r w:rsidR="00954DFA">
        <w:rPr>
          <w:rFonts w:cs="Tahoma"/>
          <w:sz w:val="24"/>
          <w:szCs w:val="24"/>
        </w:rPr>
        <w:t>en 2012</w:t>
      </w:r>
    </w:p>
    <w:p w:rsidR="00034387" w:rsidRDefault="0003438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Dále byla předložena hlavní kniha, obratová předvaha, rozpočet OÚ a jeho plnění k 31.</w:t>
      </w:r>
      <w:r w:rsidR="00F60C40">
        <w:rPr>
          <w:rFonts w:cs="Tahoma"/>
          <w:sz w:val="24"/>
          <w:szCs w:val="24"/>
        </w:rPr>
        <w:t>5</w:t>
      </w:r>
      <w:r w:rsidR="00954DFA">
        <w:rPr>
          <w:rFonts w:cs="Tahoma"/>
          <w:sz w:val="24"/>
          <w:szCs w:val="24"/>
        </w:rPr>
        <w:t>.2012</w:t>
      </w:r>
      <w:r w:rsidR="00F60C40">
        <w:rPr>
          <w:rFonts w:cs="Tahoma"/>
          <w:sz w:val="24"/>
          <w:szCs w:val="24"/>
        </w:rPr>
        <w:t>.</w:t>
      </w: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Pr="007527B5" w:rsidRDefault="007527B5" w:rsidP="007527B5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7527B5">
        <w:rPr>
          <w:rFonts w:cs="Tahoma"/>
          <w:b/>
          <w:sz w:val="24"/>
          <w:szCs w:val="24"/>
        </w:rPr>
        <w:t>V průběhu kontroly nebyl zjištěn rozpor mezi prvotními doklady a účetní evidencí; nebyla zjištěna žádná chyba v účetní evidenci.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954DFA" w:rsidRDefault="00954DF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Psárech dne </w:t>
      </w:r>
      <w:r w:rsidR="00F60C40">
        <w:rPr>
          <w:rFonts w:cs="Tahoma"/>
          <w:sz w:val="24"/>
          <w:szCs w:val="24"/>
        </w:rPr>
        <w:t>04</w:t>
      </w:r>
      <w:r w:rsidRPr="00AA5BCD">
        <w:rPr>
          <w:rFonts w:cs="Tahoma"/>
          <w:sz w:val="24"/>
          <w:szCs w:val="24"/>
        </w:rPr>
        <w:t xml:space="preserve">. </w:t>
      </w:r>
      <w:r w:rsidR="00F60C40">
        <w:rPr>
          <w:rFonts w:cs="Tahoma"/>
          <w:sz w:val="24"/>
          <w:szCs w:val="24"/>
        </w:rPr>
        <w:t>06</w:t>
      </w:r>
      <w:r w:rsidR="00CE0577" w:rsidRPr="00AA5BCD">
        <w:rPr>
          <w:rFonts w:cs="Tahoma"/>
          <w:sz w:val="24"/>
          <w:szCs w:val="24"/>
        </w:rPr>
        <w:t>.201</w:t>
      </w:r>
      <w:r w:rsidR="004401F9">
        <w:rPr>
          <w:rFonts w:cs="Tahoma"/>
          <w:sz w:val="24"/>
          <w:szCs w:val="24"/>
        </w:rPr>
        <w:t>2</w:t>
      </w:r>
      <w:r w:rsidR="00AC2136">
        <w:rPr>
          <w:rFonts w:cs="Tahoma"/>
          <w:sz w:val="24"/>
          <w:szCs w:val="24"/>
        </w:rPr>
        <w:t xml:space="preserve">                                                           </w:t>
      </w:r>
    </w:p>
    <w:p w:rsidR="00CE0577" w:rsidRPr="00AA5BCD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</w:t>
      </w:r>
      <w:r w:rsidR="00A83235">
        <w:rPr>
          <w:rFonts w:cs="Tahoma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cs="Tahoma"/>
          <w:sz w:val="24"/>
          <w:szCs w:val="24"/>
        </w:rPr>
        <w:t xml:space="preserve">                                                                                                         </w:t>
      </w:r>
    </w:p>
    <w:p w:rsidR="00570B51" w:rsidRPr="00AA5BCD" w:rsidRDefault="00570B51" w:rsidP="00CE0577">
      <w:pPr>
        <w:autoSpaceDE w:val="0"/>
        <w:autoSpaceDN w:val="0"/>
        <w:adjustRightInd w:val="0"/>
        <w:spacing w:after="0" w:line="240" w:lineRule="auto"/>
        <w:ind w:left="5664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ing. </w:t>
      </w:r>
      <w:r w:rsidR="00CE0577" w:rsidRPr="00AA5BCD">
        <w:rPr>
          <w:rFonts w:cs="Tahoma"/>
          <w:sz w:val="24"/>
          <w:szCs w:val="24"/>
        </w:rPr>
        <w:t>Antonín Rak</w:t>
      </w:r>
    </w:p>
    <w:p w:rsidR="00570B51" w:rsidRPr="00AA5BCD" w:rsidRDefault="00DD6213" w:rsidP="00CE0577">
      <w:pPr>
        <w:autoSpaceDE w:val="0"/>
        <w:autoSpaceDN w:val="0"/>
        <w:adjustRightInd w:val="0"/>
        <w:spacing w:after="0" w:line="240" w:lineRule="auto"/>
        <w:ind w:left="4956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570B51" w:rsidRPr="00AA5BCD">
        <w:rPr>
          <w:rFonts w:cs="Tahoma"/>
          <w:sz w:val="24"/>
          <w:szCs w:val="24"/>
        </w:rPr>
        <w:t>předseda finančního výboru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C2136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F60C40" w:rsidRDefault="00F60C4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F59F0" w:rsidRDefault="004F59F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>Vyj</w:t>
      </w:r>
      <w:r w:rsidR="00570B51" w:rsidRPr="00AA5BCD">
        <w:rPr>
          <w:rFonts w:cs="Tahoma"/>
          <w:sz w:val="24"/>
          <w:szCs w:val="24"/>
        </w:rPr>
        <w:t xml:space="preserve">ádření kontrolovaného </w:t>
      </w:r>
      <w:r w:rsidRPr="00AA5BCD">
        <w:rPr>
          <w:rFonts w:cs="Tahoma"/>
          <w:sz w:val="24"/>
          <w:szCs w:val="24"/>
        </w:rPr>
        <w:t>subj</w:t>
      </w:r>
      <w:r w:rsidR="00570B51" w:rsidRPr="00AA5BCD">
        <w:rPr>
          <w:rFonts w:cs="Tahoma"/>
          <w:sz w:val="24"/>
          <w:szCs w:val="24"/>
        </w:rPr>
        <w:t>ektu:</w:t>
      </w:r>
    </w:p>
    <w:p w:rsidR="00CE0577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E41448" w:rsidRDefault="00E4144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sectPr w:rsidR="00E41448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35" w:rsidRDefault="00C04E35" w:rsidP="00BE5FA8">
      <w:pPr>
        <w:spacing w:after="0" w:line="240" w:lineRule="auto"/>
      </w:pPr>
      <w:r>
        <w:separator/>
      </w:r>
    </w:p>
  </w:endnote>
  <w:endnote w:type="continuationSeparator" w:id="0">
    <w:p w:rsidR="00C04E35" w:rsidRDefault="00C04E35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372E33">
      <w:rPr>
        <w:rFonts w:asciiTheme="majorHAnsi" w:hAnsiTheme="majorHAnsi"/>
      </w:rPr>
      <w:t>duben až květ</w:t>
    </w:r>
    <w:r w:rsidR="00EB5C79">
      <w:rPr>
        <w:rFonts w:asciiTheme="majorHAnsi" w:hAnsiTheme="majorHAnsi"/>
      </w:rPr>
      <w:t>en 2012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8E4EDF">
      <w:fldChar w:fldCharType="begin"/>
    </w:r>
    <w:r w:rsidR="008E4EDF">
      <w:instrText xml:space="preserve"> PAGE   \* MERGEFORMAT </w:instrText>
    </w:r>
    <w:r w:rsidR="008E4EDF">
      <w:fldChar w:fldCharType="separate"/>
    </w:r>
    <w:r w:rsidR="008E4EDF" w:rsidRPr="008E4EDF">
      <w:rPr>
        <w:rFonts w:asciiTheme="majorHAnsi" w:hAnsiTheme="majorHAnsi"/>
        <w:noProof/>
      </w:rPr>
      <w:t>1</w:t>
    </w:r>
    <w:r w:rsidR="008E4EDF">
      <w:rPr>
        <w:rFonts w:asciiTheme="majorHAnsi" w:hAnsiTheme="majorHAnsi"/>
        <w:noProof/>
      </w:rPr>
      <w:fldChar w:fldCharType="end"/>
    </w:r>
  </w:p>
  <w:p w:rsidR="00BE5FA8" w:rsidRDefault="00BE5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35" w:rsidRDefault="00C04E35" w:rsidP="00BE5FA8">
      <w:pPr>
        <w:spacing w:after="0" w:line="240" w:lineRule="auto"/>
      </w:pPr>
      <w:r>
        <w:separator/>
      </w:r>
    </w:p>
  </w:footnote>
  <w:footnote w:type="continuationSeparator" w:id="0">
    <w:p w:rsidR="00C04E35" w:rsidRDefault="00C04E35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A65087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Protokol o kontrole č.</w:t>
        </w:r>
        <w:r w:rsidR="00F60C40">
          <w:rPr>
            <w:rFonts w:cs="Tahoma"/>
            <w:b/>
            <w:sz w:val="32"/>
            <w:szCs w:val="32"/>
          </w:rPr>
          <w:t>2</w:t>
        </w:r>
        <w:r w:rsidR="00BE5FA8" w:rsidRPr="00BE5FA8">
          <w:rPr>
            <w:rFonts w:cs="Tahoma"/>
            <w:b/>
            <w:sz w:val="32"/>
            <w:szCs w:val="32"/>
          </w:rPr>
          <w:t>/201</w:t>
        </w:r>
        <w:r w:rsidR="00EB5C79">
          <w:rPr>
            <w:rFonts w:cs="Tahoma"/>
            <w:b/>
            <w:sz w:val="32"/>
            <w:szCs w:val="32"/>
          </w:rPr>
          <w:t>2</w:t>
        </w:r>
        <w:r w:rsidR="00BE5FA8" w:rsidRPr="00BE5FA8">
          <w:rPr>
            <w:rFonts w:cs="Tahoma"/>
            <w:b/>
            <w:sz w:val="32"/>
            <w:szCs w:val="32"/>
          </w:rPr>
          <w:t xml:space="preserve"> za období </w:t>
        </w:r>
        <w:r w:rsidR="00F60C40">
          <w:rPr>
            <w:rFonts w:cs="Tahoma"/>
            <w:b/>
            <w:sz w:val="32"/>
            <w:szCs w:val="32"/>
          </w:rPr>
          <w:t>dub</w:t>
        </w:r>
        <w:r w:rsidR="00EB5C79">
          <w:rPr>
            <w:rFonts w:cs="Tahoma"/>
            <w:b/>
            <w:sz w:val="32"/>
            <w:szCs w:val="32"/>
          </w:rPr>
          <w:t>en</w:t>
        </w:r>
        <w:r w:rsidR="00BE5FA8" w:rsidRPr="00BE5FA8">
          <w:rPr>
            <w:rFonts w:cs="Tahoma"/>
            <w:b/>
            <w:sz w:val="32"/>
            <w:szCs w:val="32"/>
          </w:rPr>
          <w:t xml:space="preserve"> – </w:t>
        </w:r>
        <w:r w:rsidR="00F60C40">
          <w:rPr>
            <w:rFonts w:cs="Tahoma"/>
            <w:b/>
            <w:sz w:val="32"/>
            <w:szCs w:val="32"/>
          </w:rPr>
          <w:t>květ</w:t>
        </w:r>
        <w:r w:rsidR="00EB5C79">
          <w:rPr>
            <w:rFonts w:cs="Tahoma"/>
            <w:b/>
            <w:sz w:val="32"/>
            <w:szCs w:val="32"/>
          </w:rPr>
          <w:t>en 2012</w:t>
        </w:r>
        <w:r w:rsidR="005319FF">
          <w:rPr>
            <w:rFonts w:cs="Tahoma"/>
            <w:b/>
            <w:sz w:val="32"/>
            <w:szCs w:val="32"/>
          </w:rPr>
          <w:t>:</w:t>
        </w:r>
        <w:r w:rsidR="00BE5FA8">
          <w:rPr>
            <w:rFonts w:cs="Tahoma"/>
            <w:b/>
            <w:sz w:val="32"/>
            <w:szCs w:val="32"/>
          </w:rPr>
          <w:t xml:space="preserve">                               </w:t>
        </w:r>
        <w:r w:rsidR="00BE5FA8" w:rsidRPr="00BE5FA8">
          <w:rPr>
            <w:rFonts w:cs="Tahoma"/>
            <w:b/>
            <w:sz w:val="32"/>
            <w:szCs w:val="32"/>
          </w:rPr>
          <w:t>Základní škola a Mateřská škola Psáry</w:t>
        </w:r>
        <w:r w:rsidR="005319FF">
          <w:rPr>
            <w:rFonts w:cs="Tahoma"/>
            <w:b/>
            <w:sz w:val="32"/>
            <w:szCs w:val="32"/>
          </w:rPr>
          <w:t>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273FB"/>
    <w:rsid w:val="00034387"/>
    <w:rsid w:val="00062647"/>
    <w:rsid w:val="00062DCE"/>
    <w:rsid w:val="000A6601"/>
    <w:rsid w:val="000B3E8B"/>
    <w:rsid w:val="000B461E"/>
    <w:rsid w:val="00100BA7"/>
    <w:rsid w:val="00134F1F"/>
    <w:rsid w:val="001518F5"/>
    <w:rsid w:val="001A3EF4"/>
    <w:rsid w:val="001E025F"/>
    <w:rsid w:val="0025121A"/>
    <w:rsid w:val="00262ECB"/>
    <w:rsid w:val="00290C45"/>
    <w:rsid w:val="002C3931"/>
    <w:rsid w:val="002D067A"/>
    <w:rsid w:val="002E384F"/>
    <w:rsid w:val="00326DA6"/>
    <w:rsid w:val="00345D20"/>
    <w:rsid w:val="00366453"/>
    <w:rsid w:val="00372E33"/>
    <w:rsid w:val="00382A0B"/>
    <w:rsid w:val="00385302"/>
    <w:rsid w:val="00394602"/>
    <w:rsid w:val="003A75F0"/>
    <w:rsid w:val="0040664B"/>
    <w:rsid w:val="004352B0"/>
    <w:rsid w:val="004401F9"/>
    <w:rsid w:val="00443880"/>
    <w:rsid w:val="00465218"/>
    <w:rsid w:val="00492E29"/>
    <w:rsid w:val="004B0DA1"/>
    <w:rsid w:val="004B1791"/>
    <w:rsid w:val="004C329A"/>
    <w:rsid w:val="004D3DDA"/>
    <w:rsid w:val="004F59F0"/>
    <w:rsid w:val="005319FF"/>
    <w:rsid w:val="00537B17"/>
    <w:rsid w:val="00545D26"/>
    <w:rsid w:val="00561275"/>
    <w:rsid w:val="0056773D"/>
    <w:rsid w:val="005678C2"/>
    <w:rsid w:val="00570B51"/>
    <w:rsid w:val="00571749"/>
    <w:rsid w:val="00574895"/>
    <w:rsid w:val="0058088D"/>
    <w:rsid w:val="005A2379"/>
    <w:rsid w:val="005C770B"/>
    <w:rsid w:val="005D1791"/>
    <w:rsid w:val="005E6A03"/>
    <w:rsid w:val="005F1055"/>
    <w:rsid w:val="006445F0"/>
    <w:rsid w:val="00644B53"/>
    <w:rsid w:val="0064685F"/>
    <w:rsid w:val="006566CF"/>
    <w:rsid w:val="00687032"/>
    <w:rsid w:val="00692664"/>
    <w:rsid w:val="006A2A0E"/>
    <w:rsid w:val="006B0011"/>
    <w:rsid w:val="006C07DA"/>
    <w:rsid w:val="007527B5"/>
    <w:rsid w:val="0076608A"/>
    <w:rsid w:val="00776383"/>
    <w:rsid w:val="007B62B3"/>
    <w:rsid w:val="00836992"/>
    <w:rsid w:val="00850E72"/>
    <w:rsid w:val="008519D6"/>
    <w:rsid w:val="00886D16"/>
    <w:rsid w:val="008B6591"/>
    <w:rsid w:val="008E4EDF"/>
    <w:rsid w:val="00932C7E"/>
    <w:rsid w:val="0095497C"/>
    <w:rsid w:val="00954DFA"/>
    <w:rsid w:val="00986F3D"/>
    <w:rsid w:val="009B48FD"/>
    <w:rsid w:val="009D7914"/>
    <w:rsid w:val="00A65087"/>
    <w:rsid w:val="00A83235"/>
    <w:rsid w:val="00AA3A6D"/>
    <w:rsid w:val="00AA5BCD"/>
    <w:rsid w:val="00AC2136"/>
    <w:rsid w:val="00B162D6"/>
    <w:rsid w:val="00B22EE1"/>
    <w:rsid w:val="00B4032C"/>
    <w:rsid w:val="00B5122A"/>
    <w:rsid w:val="00B66934"/>
    <w:rsid w:val="00B91BBE"/>
    <w:rsid w:val="00BB07C8"/>
    <w:rsid w:val="00BE5FA8"/>
    <w:rsid w:val="00C04E35"/>
    <w:rsid w:val="00C0688B"/>
    <w:rsid w:val="00C078BB"/>
    <w:rsid w:val="00C17BC1"/>
    <w:rsid w:val="00C21B8F"/>
    <w:rsid w:val="00C4704D"/>
    <w:rsid w:val="00C7089A"/>
    <w:rsid w:val="00C920BC"/>
    <w:rsid w:val="00CD3960"/>
    <w:rsid w:val="00CE0577"/>
    <w:rsid w:val="00CE4CEA"/>
    <w:rsid w:val="00CF11E6"/>
    <w:rsid w:val="00D010B9"/>
    <w:rsid w:val="00D111A6"/>
    <w:rsid w:val="00D30D53"/>
    <w:rsid w:val="00D72ADA"/>
    <w:rsid w:val="00D764B3"/>
    <w:rsid w:val="00DA490A"/>
    <w:rsid w:val="00DD010F"/>
    <w:rsid w:val="00DD6213"/>
    <w:rsid w:val="00E412B8"/>
    <w:rsid w:val="00E41448"/>
    <w:rsid w:val="00E531C1"/>
    <w:rsid w:val="00E5540E"/>
    <w:rsid w:val="00E71380"/>
    <w:rsid w:val="00E907B3"/>
    <w:rsid w:val="00EB5C79"/>
    <w:rsid w:val="00F20740"/>
    <w:rsid w:val="00F6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151D18"/>
    <w:rsid w:val="0016728A"/>
    <w:rsid w:val="001C7153"/>
    <w:rsid w:val="001D3817"/>
    <w:rsid w:val="002C2E44"/>
    <w:rsid w:val="004703F9"/>
    <w:rsid w:val="004B51EB"/>
    <w:rsid w:val="0065079C"/>
    <w:rsid w:val="007B4941"/>
    <w:rsid w:val="007D6566"/>
    <w:rsid w:val="00811341"/>
    <w:rsid w:val="009D3A8C"/>
    <w:rsid w:val="009D6AA8"/>
    <w:rsid w:val="009E0EC0"/>
    <w:rsid w:val="00B159D5"/>
    <w:rsid w:val="00B54965"/>
    <w:rsid w:val="00D26402"/>
    <w:rsid w:val="00D95CB6"/>
    <w:rsid w:val="00DF0CC0"/>
    <w:rsid w:val="00E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4E527-ECD5-402A-B812-A08598CB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opakované kontrole č.4/2011 za období květen – červenec 2011:                               Základní škola a Mateřská škola Psáry, okres Praha - západ</vt:lpstr>
    </vt:vector>
  </TitlesOfParts>
  <Company>SMP CZ, a.s.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č.2/2012 za období duben – květen 2012:                               Základní škola a Mateřská škola Psáry, okres Praha - západ</dc:title>
  <dc:creator>Antonín Rak</dc:creator>
  <cp:lastModifiedBy>Iva Janečková</cp:lastModifiedBy>
  <cp:revision>2</cp:revision>
  <cp:lastPrinted>2011-11-28T06:19:00Z</cp:lastPrinted>
  <dcterms:created xsi:type="dcterms:W3CDTF">2012-06-11T07:11:00Z</dcterms:created>
  <dcterms:modified xsi:type="dcterms:W3CDTF">2012-06-11T07:11:00Z</dcterms:modified>
</cp:coreProperties>
</file>